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59" w:rsidRPr="004504DD" w:rsidRDefault="00DB5959" w:rsidP="00DB59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4DD">
        <w:rPr>
          <w:rFonts w:ascii="Times New Roman" w:hAnsi="Times New Roman" w:cs="Times New Roman"/>
          <w:b/>
          <w:sz w:val="28"/>
          <w:szCs w:val="28"/>
        </w:rPr>
        <w:t xml:space="preserve">Sharing Your Wishes:  </w:t>
      </w:r>
      <w:bookmarkStart w:id="0" w:name="_GoBack"/>
      <w:r w:rsidRPr="004504DD">
        <w:rPr>
          <w:rFonts w:ascii="Times New Roman" w:hAnsi="Times New Roman" w:cs="Times New Roman"/>
          <w:b/>
          <w:sz w:val="28"/>
          <w:szCs w:val="28"/>
        </w:rPr>
        <w:t>Keeping the Language Straight</w:t>
      </w:r>
      <w:bookmarkEnd w:id="0"/>
    </w:p>
    <w:p w:rsidR="00DB5959" w:rsidRDefault="00DB5959" w:rsidP="00DB595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11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9090"/>
      </w:tblGrid>
      <w:tr w:rsidR="00DB5959" w:rsidTr="00F62FCE">
        <w:tc>
          <w:tcPr>
            <w:tcW w:w="2070" w:type="dxa"/>
          </w:tcPr>
          <w:p w:rsidR="00DB5959" w:rsidRDefault="00DB5959" w:rsidP="00F62FCE">
            <w:pPr>
              <w:rPr>
                <w:b/>
                <w:sz w:val="22"/>
                <w:szCs w:val="22"/>
              </w:rPr>
            </w:pPr>
            <w:r w:rsidRPr="009A78E4">
              <w:rPr>
                <w:i/>
                <w:sz w:val="22"/>
                <w:szCs w:val="22"/>
              </w:rPr>
              <w:t>A Will</w:t>
            </w:r>
          </w:p>
        </w:tc>
        <w:tc>
          <w:tcPr>
            <w:tcW w:w="9090" w:type="dxa"/>
          </w:tcPr>
          <w:p w:rsidR="00DB5959" w:rsidRDefault="00DB5959" w:rsidP="00F62FCE">
            <w:pPr>
              <w:rPr>
                <w:sz w:val="22"/>
                <w:szCs w:val="22"/>
              </w:rPr>
            </w:pPr>
            <w:r w:rsidRPr="009A78E4">
              <w:rPr>
                <w:sz w:val="22"/>
                <w:szCs w:val="22"/>
              </w:rPr>
              <w:t>A legal document used to divide assets and property after death.</w:t>
            </w:r>
          </w:p>
          <w:p w:rsidR="00DB5959" w:rsidRDefault="00DB5959" w:rsidP="00F62FCE">
            <w:pPr>
              <w:rPr>
                <w:b/>
                <w:sz w:val="22"/>
                <w:szCs w:val="22"/>
              </w:rPr>
            </w:pPr>
          </w:p>
        </w:tc>
      </w:tr>
      <w:tr w:rsidR="00DB5959" w:rsidTr="00F62FCE">
        <w:tc>
          <w:tcPr>
            <w:tcW w:w="2070" w:type="dxa"/>
          </w:tcPr>
          <w:p w:rsidR="00DB5959" w:rsidRDefault="00DB5959" w:rsidP="00F62FCE">
            <w:pPr>
              <w:rPr>
                <w:b/>
                <w:sz w:val="22"/>
                <w:szCs w:val="22"/>
              </w:rPr>
            </w:pPr>
            <w:r w:rsidRPr="009A78E4">
              <w:rPr>
                <w:i/>
                <w:sz w:val="22"/>
                <w:szCs w:val="22"/>
              </w:rPr>
              <w:t>A Living Will</w:t>
            </w:r>
          </w:p>
        </w:tc>
        <w:tc>
          <w:tcPr>
            <w:tcW w:w="9090" w:type="dxa"/>
          </w:tcPr>
          <w:p w:rsidR="00DB5959" w:rsidRDefault="00DB5959" w:rsidP="00F62FCE">
            <w:pPr>
              <w:rPr>
                <w:sz w:val="22"/>
                <w:szCs w:val="22"/>
              </w:rPr>
            </w:pPr>
            <w:r w:rsidRPr="009A78E4">
              <w:rPr>
                <w:sz w:val="22"/>
                <w:szCs w:val="22"/>
              </w:rPr>
              <w:t>Written instructions that tell physicians and family members what life-sustaining treatment one does or does not want at some future time if a person becomes unable to make a decision.</w:t>
            </w:r>
          </w:p>
          <w:p w:rsidR="00DB5959" w:rsidRDefault="00DB5959" w:rsidP="00F62FCE">
            <w:pPr>
              <w:rPr>
                <w:b/>
                <w:sz w:val="22"/>
                <w:szCs w:val="22"/>
              </w:rPr>
            </w:pPr>
          </w:p>
        </w:tc>
      </w:tr>
      <w:tr w:rsidR="00DB5959" w:rsidTr="00F62FCE">
        <w:tc>
          <w:tcPr>
            <w:tcW w:w="2070" w:type="dxa"/>
          </w:tcPr>
          <w:p w:rsidR="00DB5959" w:rsidRDefault="00DB5959" w:rsidP="00F62FCE">
            <w:pPr>
              <w:rPr>
                <w:b/>
                <w:sz w:val="22"/>
                <w:szCs w:val="22"/>
              </w:rPr>
            </w:pPr>
            <w:r w:rsidRPr="009A78E4">
              <w:rPr>
                <w:i/>
                <w:sz w:val="22"/>
                <w:szCs w:val="22"/>
              </w:rPr>
              <w:t>Power of Attorney</w:t>
            </w:r>
          </w:p>
        </w:tc>
        <w:tc>
          <w:tcPr>
            <w:tcW w:w="9090" w:type="dxa"/>
          </w:tcPr>
          <w:p w:rsidR="00DB5959" w:rsidRDefault="00DB5959" w:rsidP="00F62FCE">
            <w:pPr>
              <w:rPr>
                <w:sz w:val="22"/>
                <w:szCs w:val="22"/>
              </w:rPr>
            </w:pPr>
            <w:r w:rsidRPr="009A78E4">
              <w:rPr>
                <w:sz w:val="22"/>
                <w:szCs w:val="22"/>
              </w:rPr>
              <w:t xml:space="preserve">A legal document in which one person gives another the authority to make specified financial decisions or assume certain financial responsibilities.  If this authority extends after the time that the person </w:t>
            </w:r>
            <w:r>
              <w:rPr>
                <w:sz w:val="22"/>
                <w:szCs w:val="22"/>
              </w:rPr>
              <w:t xml:space="preserve">who made the appointment is </w:t>
            </w:r>
            <w:r w:rsidRPr="009A78E4">
              <w:rPr>
                <w:sz w:val="22"/>
                <w:szCs w:val="22"/>
              </w:rPr>
              <w:t xml:space="preserve">competent, it is called </w:t>
            </w:r>
            <w:r>
              <w:rPr>
                <w:sz w:val="22"/>
                <w:szCs w:val="22"/>
              </w:rPr>
              <w:t xml:space="preserve">a </w:t>
            </w:r>
            <w:r w:rsidRPr="009A78E4">
              <w:rPr>
                <w:sz w:val="22"/>
                <w:szCs w:val="22"/>
              </w:rPr>
              <w:t>“durable power of attorney.”</w:t>
            </w:r>
          </w:p>
          <w:p w:rsidR="00DB5959" w:rsidRDefault="00DB5959" w:rsidP="00F62FCE">
            <w:pPr>
              <w:rPr>
                <w:b/>
                <w:sz w:val="22"/>
                <w:szCs w:val="22"/>
              </w:rPr>
            </w:pPr>
          </w:p>
        </w:tc>
      </w:tr>
      <w:tr w:rsidR="00DB5959" w:rsidTr="00F62FCE">
        <w:tc>
          <w:tcPr>
            <w:tcW w:w="2070" w:type="dxa"/>
          </w:tcPr>
          <w:p w:rsidR="00DB5959" w:rsidRDefault="00DB5959" w:rsidP="00F62FCE">
            <w:pPr>
              <w:rPr>
                <w:b/>
                <w:sz w:val="22"/>
                <w:szCs w:val="22"/>
              </w:rPr>
            </w:pPr>
            <w:r w:rsidRPr="009A78E4">
              <w:rPr>
                <w:b/>
                <w:i/>
                <w:sz w:val="22"/>
                <w:szCs w:val="22"/>
              </w:rPr>
              <w:t>Health Care Proxy form</w:t>
            </w:r>
          </w:p>
        </w:tc>
        <w:tc>
          <w:tcPr>
            <w:tcW w:w="9090" w:type="dxa"/>
          </w:tcPr>
          <w:p w:rsidR="00DB5959" w:rsidRDefault="00DB5959" w:rsidP="00F62FCE">
            <w:pPr>
              <w:rPr>
                <w:i/>
                <w:sz w:val="22"/>
                <w:szCs w:val="22"/>
              </w:rPr>
            </w:pPr>
            <w:r w:rsidRPr="009A78E4">
              <w:rPr>
                <w:sz w:val="22"/>
                <w:szCs w:val="22"/>
              </w:rPr>
              <w:t xml:space="preserve">In this legal document a person (a principal) appoints someone else (an agent or proxy) to make his/her health care decisions in the event he/she becomes incapable of making decisions.  In other states, sometimes called a </w:t>
            </w:r>
            <w:r w:rsidRPr="009A78E4">
              <w:rPr>
                <w:i/>
                <w:sz w:val="22"/>
                <w:szCs w:val="22"/>
              </w:rPr>
              <w:t>Power of Attorney for Healthcare.</w:t>
            </w:r>
          </w:p>
          <w:p w:rsidR="00DB5959" w:rsidRPr="009A78E4" w:rsidRDefault="00DB5959" w:rsidP="00F62FCE">
            <w:pPr>
              <w:rPr>
                <w:sz w:val="22"/>
                <w:szCs w:val="22"/>
              </w:rPr>
            </w:pPr>
          </w:p>
        </w:tc>
      </w:tr>
      <w:tr w:rsidR="00DB5959" w:rsidTr="00F62FCE">
        <w:tc>
          <w:tcPr>
            <w:tcW w:w="2070" w:type="dxa"/>
          </w:tcPr>
          <w:p w:rsidR="00DB5959" w:rsidRDefault="00DB5959" w:rsidP="00F62FCE">
            <w:pPr>
              <w:rPr>
                <w:b/>
                <w:sz w:val="22"/>
                <w:szCs w:val="22"/>
              </w:rPr>
            </w:pPr>
            <w:r w:rsidRPr="009A78E4">
              <w:rPr>
                <w:i/>
                <w:sz w:val="22"/>
                <w:szCs w:val="22"/>
              </w:rPr>
              <w:t>Health Care Agent</w:t>
            </w:r>
          </w:p>
        </w:tc>
        <w:tc>
          <w:tcPr>
            <w:tcW w:w="9090" w:type="dxa"/>
          </w:tcPr>
          <w:p w:rsidR="00DB5959" w:rsidRDefault="00DB5959" w:rsidP="00F62FCE">
            <w:pPr>
              <w:rPr>
                <w:sz w:val="22"/>
                <w:szCs w:val="22"/>
              </w:rPr>
            </w:pPr>
            <w:r w:rsidRPr="009A78E4">
              <w:rPr>
                <w:sz w:val="22"/>
                <w:szCs w:val="22"/>
              </w:rPr>
              <w:t xml:space="preserve">The person (and alternate, if identified) that an individual appoints to make his/her health care decisions in the event he/she becomes incapable of making decisions. </w:t>
            </w:r>
          </w:p>
          <w:p w:rsidR="00DB5959" w:rsidRPr="009A78E4" w:rsidRDefault="00DB5959" w:rsidP="00F62FCE">
            <w:pPr>
              <w:rPr>
                <w:sz w:val="22"/>
                <w:szCs w:val="22"/>
              </w:rPr>
            </w:pPr>
          </w:p>
        </w:tc>
      </w:tr>
      <w:tr w:rsidR="00DB5959" w:rsidTr="00F62FCE">
        <w:tc>
          <w:tcPr>
            <w:tcW w:w="2070" w:type="dxa"/>
          </w:tcPr>
          <w:p w:rsidR="00DB5959" w:rsidRDefault="00DB5959" w:rsidP="00F62FCE">
            <w:pPr>
              <w:rPr>
                <w:b/>
                <w:sz w:val="22"/>
                <w:szCs w:val="22"/>
              </w:rPr>
            </w:pPr>
            <w:r w:rsidRPr="009A78E4">
              <w:rPr>
                <w:i/>
                <w:sz w:val="22"/>
                <w:szCs w:val="22"/>
              </w:rPr>
              <w:t>Legal Guardian</w:t>
            </w:r>
            <w:r w:rsidRPr="009A78E4">
              <w:rPr>
                <w:i/>
                <w:sz w:val="22"/>
                <w:szCs w:val="22"/>
              </w:rPr>
              <w:tab/>
            </w:r>
          </w:p>
        </w:tc>
        <w:tc>
          <w:tcPr>
            <w:tcW w:w="9090" w:type="dxa"/>
          </w:tcPr>
          <w:p w:rsidR="00DB5959" w:rsidRDefault="00DB5959" w:rsidP="00F62FCE">
            <w:pPr>
              <w:rPr>
                <w:sz w:val="22"/>
                <w:szCs w:val="22"/>
              </w:rPr>
            </w:pPr>
            <w:r w:rsidRPr="009A78E4">
              <w:rPr>
                <w:sz w:val="22"/>
                <w:szCs w:val="22"/>
              </w:rPr>
              <w:t>This is a person appointed by a judge to make another’s (the ward’s)</w:t>
            </w:r>
            <w:r>
              <w:rPr>
                <w:sz w:val="22"/>
                <w:szCs w:val="22"/>
              </w:rPr>
              <w:t xml:space="preserve"> </w:t>
            </w:r>
            <w:r w:rsidRPr="009A78E4">
              <w:rPr>
                <w:sz w:val="22"/>
                <w:szCs w:val="22"/>
              </w:rPr>
              <w:t>personal decisions, including consenting to or refusing medical treatment.</w:t>
            </w:r>
          </w:p>
          <w:p w:rsidR="00DB5959" w:rsidRPr="009A78E4" w:rsidRDefault="00DB5959" w:rsidP="00F62FCE">
            <w:pPr>
              <w:rPr>
                <w:sz w:val="22"/>
                <w:szCs w:val="22"/>
              </w:rPr>
            </w:pPr>
          </w:p>
        </w:tc>
      </w:tr>
      <w:tr w:rsidR="00DB5959" w:rsidTr="00F62FCE">
        <w:tc>
          <w:tcPr>
            <w:tcW w:w="11160" w:type="dxa"/>
            <w:gridSpan w:val="2"/>
          </w:tcPr>
          <w:p w:rsidR="00DB5959" w:rsidRDefault="00DB5959" w:rsidP="00F62FCE">
            <w:pPr>
              <w:rPr>
                <w:sz w:val="22"/>
                <w:szCs w:val="22"/>
              </w:rPr>
            </w:pPr>
            <w:r w:rsidRPr="009A78E4">
              <w:rPr>
                <w:sz w:val="22"/>
                <w:szCs w:val="22"/>
                <w:u w:val="single"/>
              </w:rPr>
              <w:t>Below are physician-signed orders</w:t>
            </w:r>
            <w:r w:rsidRPr="009A78E4">
              <w:rPr>
                <w:sz w:val="22"/>
                <w:szCs w:val="22"/>
              </w:rPr>
              <w:t>:</w:t>
            </w:r>
          </w:p>
          <w:p w:rsidR="00DB5959" w:rsidRPr="009A78E4" w:rsidRDefault="00DB5959" w:rsidP="00F62FCE">
            <w:pPr>
              <w:rPr>
                <w:sz w:val="22"/>
                <w:szCs w:val="22"/>
              </w:rPr>
            </w:pPr>
          </w:p>
        </w:tc>
      </w:tr>
      <w:tr w:rsidR="00DB5959" w:rsidTr="00F62FCE">
        <w:tc>
          <w:tcPr>
            <w:tcW w:w="2070" w:type="dxa"/>
          </w:tcPr>
          <w:p w:rsidR="00DB5959" w:rsidRPr="009A78E4" w:rsidRDefault="00DB5959" w:rsidP="00F62FCE">
            <w:pPr>
              <w:rPr>
                <w:sz w:val="22"/>
                <w:szCs w:val="22"/>
              </w:rPr>
            </w:pPr>
            <w:r w:rsidRPr="009A78E4">
              <w:rPr>
                <w:i/>
                <w:sz w:val="22"/>
                <w:szCs w:val="22"/>
              </w:rPr>
              <w:t xml:space="preserve">Do Not Resuscitate </w:t>
            </w:r>
            <w:r>
              <w:rPr>
                <w:i/>
                <w:sz w:val="22"/>
                <w:szCs w:val="22"/>
              </w:rPr>
              <w:t xml:space="preserve">(DNR) </w:t>
            </w:r>
            <w:r w:rsidRPr="009A78E4">
              <w:rPr>
                <w:i/>
                <w:sz w:val="22"/>
                <w:szCs w:val="22"/>
              </w:rPr>
              <w:t xml:space="preserve">Orders     </w:t>
            </w:r>
          </w:p>
        </w:tc>
        <w:tc>
          <w:tcPr>
            <w:tcW w:w="9090" w:type="dxa"/>
          </w:tcPr>
          <w:p w:rsidR="00DB5959" w:rsidRPr="009A78E4" w:rsidRDefault="00DB5959" w:rsidP="00F62FCE">
            <w:pPr>
              <w:rPr>
                <w:sz w:val="22"/>
                <w:szCs w:val="22"/>
              </w:rPr>
            </w:pPr>
            <w:r w:rsidRPr="009A78E4">
              <w:rPr>
                <w:sz w:val="22"/>
                <w:szCs w:val="22"/>
                <w:u w:val="single"/>
              </w:rPr>
              <w:t xml:space="preserve">Hospital DNR Order </w:t>
            </w:r>
            <w:r w:rsidRPr="009A78E4">
              <w:rPr>
                <w:sz w:val="22"/>
                <w:szCs w:val="22"/>
              </w:rPr>
              <w:t>applies only in a health care facility such as a hospital, nursing home</w:t>
            </w:r>
          </w:p>
          <w:p w:rsidR="00DB5959" w:rsidRDefault="00DB5959" w:rsidP="00F62FCE">
            <w:pPr>
              <w:rPr>
                <w:sz w:val="22"/>
                <w:szCs w:val="22"/>
              </w:rPr>
            </w:pPr>
            <w:proofErr w:type="gramStart"/>
            <w:r w:rsidRPr="009A78E4">
              <w:rPr>
                <w:sz w:val="22"/>
                <w:szCs w:val="22"/>
              </w:rPr>
              <w:t>or</w:t>
            </w:r>
            <w:proofErr w:type="gramEnd"/>
            <w:r w:rsidRPr="009A78E4">
              <w:rPr>
                <w:sz w:val="22"/>
                <w:szCs w:val="22"/>
              </w:rPr>
              <w:t xml:space="preserve"> mental hygiene facility licensed by NYS.  </w:t>
            </w:r>
          </w:p>
          <w:p w:rsidR="00DB5959" w:rsidRPr="009A78E4" w:rsidRDefault="00DB5959" w:rsidP="00F62FCE">
            <w:pPr>
              <w:rPr>
                <w:sz w:val="22"/>
                <w:szCs w:val="22"/>
              </w:rPr>
            </w:pPr>
          </w:p>
          <w:p w:rsidR="00DB5959" w:rsidRPr="009A78E4" w:rsidRDefault="00DB5959" w:rsidP="00F62FCE">
            <w:pPr>
              <w:rPr>
                <w:sz w:val="22"/>
                <w:szCs w:val="22"/>
              </w:rPr>
            </w:pPr>
            <w:r w:rsidRPr="009A78E4">
              <w:rPr>
                <w:sz w:val="22"/>
                <w:szCs w:val="22"/>
                <w:u w:val="single"/>
              </w:rPr>
              <w:t>Non-Hospital DNR Order</w:t>
            </w:r>
            <w:r w:rsidRPr="009A78E4">
              <w:rPr>
                <w:sz w:val="22"/>
                <w:szCs w:val="22"/>
              </w:rPr>
              <w:t xml:space="preserve"> must be recorded on a specific NY State form. </w:t>
            </w:r>
            <w:r>
              <w:rPr>
                <w:sz w:val="22"/>
                <w:szCs w:val="22"/>
              </w:rPr>
              <w:t>S</w:t>
            </w:r>
            <w:r w:rsidRPr="009A78E4">
              <w:rPr>
                <w:sz w:val="22"/>
                <w:szCs w:val="22"/>
              </w:rPr>
              <w:t>ee “Planning Your Health Care in Advance” from the Office of the Attorney General W</w:t>
            </w:r>
            <w:r>
              <w:rPr>
                <w:sz w:val="22"/>
                <w:szCs w:val="22"/>
              </w:rPr>
              <w:t xml:space="preserve">ebsite at </w:t>
            </w:r>
            <w:hyperlink r:id="rId6" w:history="1">
              <w:r w:rsidRPr="00DD4876">
                <w:rPr>
                  <w:rStyle w:val="Hyperlink"/>
                  <w:sz w:val="22"/>
                  <w:szCs w:val="22"/>
                </w:rPr>
                <w:t>www.ag.ny.gov</w:t>
              </w:r>
            </w:hyperlink>
            <w:r>
              <w:rPr>
                <w:sz w:val="22"/>
                <w:szCs w:val="22"/>
              </w:rPr>
              <w:t>, limited number of copies available from Sharing Your Wishes 607-273-8686.</w:t>
            </w:r>
          </w:p>
          <w:p w:rsidR="00DB5959" w:rsidRPr="009A78E4" w:rsidRDefault="00DB5959" w:rsidP="00F62FCE">
            <w:pPr>
              <w:rPr>
                <w:sz w:val="22"/>
                <w:szCs w:val="22"/>
              </w:rPr>
            </w:pPr>
          </w:p>
        </w:tc>
      </w:tr>
      <w:tr w:rsidR="00DB5959" w:rsidTr="00F62FCE">
        <w:tc>
          <w:tcPr>
            <w:tcW w:w="2070" w:type="dxa"/>
          </w:tcPr>
          <w:p w:rsidR="00DB5959" w:rsidRPr="009A78E4" w:rsidRDefault="00DB5959" w:rsidP="00F62FCE">
            <w:pPr>
              <w:rPr>
                <w:i/>
                <w:sz w:val="22"/>
                <w:szCs w:val="22"/>
              </w:rPr>
            </w:pPr>
            <w:r w:rsidRPr="005F3E09">
              <w:rPr>
                <w:i/>
                <w:sz w:val="22"/>
                <w:szCs w:val="22"/>
              </w:rPr>
              <w:t xml:space="preserve">MOLST (Medical Orders for Life-Sustaining Treatment)  </w:t>
            </w:r>
          </w:p>
        </w:tc>
        <w:tc>
          <w:tcPr>
            <w:tcW w:w="9090" w:type="dxa"/>
          </w:tcPr>
          <w:p w:rsidR="00DB5959" w:rsidRPr="005F3E09" w:rsidRDefault="00DB5959" w:rsidP="00F62FCE">
            <w:pPr>
              <w:rPr>
                <w:sz w:val="22"/>
                <w:szCs w:val="22"/>
              </w:rPr>
            </w:pPr>
            <w:r w:rsidRPr="009A78E4">
              <w:rPr>
                <w:sz w:val="22"/>
                <w:szCs w:val="22"/>
              </w:rPr>
              <w:t>A bright pink medical order form signed by a NYS licensed physician that translates patient/</w:t>
            </w:r>
            <w:r>
              <w:rPr>
                <w:sz w:val="22"/>
                <w:szCs w:val="22"/>
              </w:rPr>
              <w:t xml:space="preserve"> </w:t>
            </w:r>
            <w:r w:rsidRPr="009A78E4">
              <w:rPr>
                <w:sz w:val="22"/>
                <w:szCs w:val="22"/>
              </w:rPr>
              <w:t xml:space="preserve">resident goals and preferences into medical orders.  Includes orders regarding: CPR, intubation and mechanical ventilation, artificial nutrition and hydration, future hospitalization and transfer, and antibiotics. </w:t>
            </w:r>
            <w:r>
              <w:rPr>
                <w:sz w:val="22"/>
                <w:szCs w:val="22"/>
              </w:rPr>
              <w:t>S</w:t>
            </w:r>
            <w:r w:rsidRPr="009A78E4">
              <w:rPr>
                <w:sz w:val="22"/>
                <w:szCs w:val="22"/>
              </w:rPr>
              <w:t xml:space="preserve">ee </w:t>
            </w:r>
            <w:hyperlink r:id="rId7" w:history="1">
              <w:r w:rsidRPr="00DD4876">
                <w:rPr>
                  <w:rStyle w:val="Hyperlink"/>
                  <w:sz w:val="22"/>
                  <w:szCs w:val="22"/>
                </w:rPr>
                <w:t>www.health.state.ny.us/professionals/patients/patient_rights/molst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B5959" w:rsidRPr="003A12BF" w:rsidRDefault="00DB5959" w:rsidP="00DB5959">
      <w:pPr>
        <w:pStyle w:val="NoSpacing"/>
        <w:rPr>
          <w:rFonts w:ascii="Times New Roman" w:hAnsi="Times New Roman" w:cs="Times New Roman"/>
        </w:rPr>
      </w:pPr>
    </w:p>
    <w:p w:rsidR="00DB5959" w:rsidRPr="003A12BF" w:rsidRDefault="00DB5959" w:rsidP="00DB595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DB5959" w:rsidRPr="004504DD" w:rsidRDefault="00DB5959" w:rsidP="00DB59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4DD">
        <w:rPr>
          <w:rFonts w:ascii="Times New Roman" w:hAnsi="Times New Roman" w:cs="Times New Roman"/>
          <w:b/>
          <w:sz w:val="28"/>
          <w:szCs w:val="28"/>
        </w:rPr>
        <w:t>What if someone has NOT completed a health care proxy form identifying their agent?</w:t>
      </w:r>
    </w:p>
    <w:p w:rsidR="00DB5959" w:rsidRPr="004504DD" w:rsidRDefault="00DB5959" w:rsidP="00DB5959">
      <w:pPr>
        <w:pStyle w:val="NoSpacing"/>
        <w:rPr>
          <w:rFonts w:ascii="Times New Roman" w:hAnsi="Times New Roman" w:cs="Times New Roman"/>
        </w:rPr>
      </w:pPr>
    </w:p>
    <w:p w:rsidR="00DB5959" w:rsidRDefault="00DB5959" w:rsidP="00DB5959">
      <w:pPr>
        <w:pStyle w:val="NoSpacing"/>
        <w:rPr>
          <w:rFonts w:ascii="Times New Roman" w:hAnsi="Times New Roman" w:cs="Times New Roman"/>
        </w:rPr>
      </w:pPr>
      <w:r w:rsidRPr="004504DD">
        <w:rPr>
          <w:rFonts w:ascii="Times New Roman" w:hAnsi="Times New Roman" w:cs="Times New Roman"/>
        </w:rPr>
        <w:t>The 2010 Family Health Care Decision Act establishe</w:t>
      </w:r>
      <w:r>
        <w:rPr>
          <w:rFonts w:ascii="Times New Roman" w:hAnsi="Times New Roman" w:cs="Times New Roman"/>
        </w:rPr>
        <w:t>s</w:t>
      </w:r>
      <w:r w:rsidRPr="004504DD">
        <w:rPr>
          <w:rFonts w:ascii="Times New Roman" w:hAnsi="Times New Roman" w:cs="Times New Roman"/>
        </w:rPr>
        <w:t xml:space="preserve"> a priority order for</w:t>
      </w:r>
      <w:r>
        <w:rPr>
          <w:rFonts w:ascii="Times New Roman" w:hAnsi="Times New Roman" w:cs="Times New Roman"/>
        </w:rPr>
        <w:t xml:space="preserve"> decision-making surrogates for people who have lost the capacity to make decisions about medical treatment and have NOT formally identified a health care agent.</w:t>
      </w:r>
    </w:p>
    <w:p w:rsidR="00DB5959" w:rsidRDefault="00DB5959" w:rsidP="00DB595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B5959" w:rsidRDefault="00DB5959" w:rsidP="00DB5959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DB5959" w:rsidSect="00DB5959"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DB5959" w:rsidRPr="004504DD" w:rsidRDefault="00DB5959" w:rsidP="00DB595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04DD">
        <w:rPr>
          <w:rFonts w:ascii="Times New Roman" w:hAnsi="Times New Roman" w:cs="Times New Roman"/>
          <w:b/>
          <w:sz w:val="24"/>
          <w:szCs w:val="24"/>
        </w:rPr>
        <w:lastRenderedPageBreak/>
        <w:t>Decision-making priority order</w:t>
      </w:r>
      <w:r w:rsidRPr="004504DD">
        <w:rPr>
          <w:rFonts w:ascii="Times New Roman" w:hAnsi="Times New Roman" w:cs="Times New Roman"/>
          <w:b/>
          <w:sz w:val="24"/>
          <w:szCs w:val="24"/>
        </w:rPr>
        <w:tab/>
      </w:r>
    </w:p>
    <w:p w:rsidR="00DB5959" w:rsidRPr="004504DD" w:rsidRDefault="00DB5959" w:rsidP="00DB5959">
      <w:pPr>
        <w:pStyle w:val="NoSpacing"/>
        <w:rPr>
          <w:rFonts w:ascii="Times New Roman" w:hAnsi="Times New Roman" w:cs="Times New Roman"/>
        </w:rPr>
      </w:pPr>
    </w:p>
    <w:p w:rsidR="00DB5959" w:rsidRPr="004504DD" w:rsidRDefault="00DB5959" w:rsidP="00DB59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 themselves</w:t>
      </w:r>
    </w:p>
    <w:p w:rsidR="00DB5959" w:rsidRPr="004504DD" w:rsidRDefault="00DB5959" w:rsidP="00DB5959">
      <w:pPr>
        <w:pStyle w:val="NoSpacing"/>
        <w:rPr>
          <w:rFonts w:ascii="Times New Roman" w:hAnsi="Times New Roman" w:cs="Times New Roman"/>
        </w:rPr>
      </w:pPr>
    </w:p>
    <w:p w:rsidR="00DB5959" w:rsidRPr="004504DD" w:rsidRDefault="00DB5959" w:rsidP="00DB5959">
      <w:pPr>
        <w:pStyle w:val="NoSpacing"/>
        <w:rPr>
          <w:rFonts w:ascii="Times New Roman" w:hAnsi="Times New Roman" w:cs="Times New Roman"/>
        </w:rPr>
      </w:pPr>
      <w:r w:rsidRPr="004504DD">
        <w:rPr>
          <w:rFonts w:ascii="Times New Roman" w:hAnsi="Times New Roman" w:cs="Times New Roman"/>
        </w:rPr>
        <w:t>If an individual can no longer make health care decisions:</w:t>
      </w:r>
    </w:p>
    <w:p w:rsidR="00DB5959" w:rsidRPr="004504DD" w:rsidRDefault="00DB5959" w:rsidP="00DB59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504DD">
        <w:rPr>
          <w:rFonts w:ascii="Times New Roman" w:hAnsi="Times New Roman" w:cs="Times New Roman"/>
        </w:rPr>
        <w:t>Health Care Proxy appointed by the individual</w:t>
      </w:r>
    </w:p>
    <w:p w:rsidR="00DB5959" w:rsidRPr="004504DD" w:rsidRDefault="00DB5959" w:rsidP="00DB5959">
      <w:pPr>
        <w:pStyle w:val="NoSpacing"/>
        <w:rPr>
          <w:rFonts w:ascii="Times New Roman" w:hAnsi="Times New Roman" w:cs="Times New Roman"/>
        </w:rPr>
      </w:pPr>
    </w:p>
    <w:p w:rsidR="00DB5959" w:rsidRPr="004504DD" w:rsidRDefault="00DB5959" w:rsidP="00DB5959">
      <w:pPr>
        <w:pStyle w:val="NoSpacing"/>
        <w:rPr>
          <w:rFonts w:ascii="Times New Roman" w:hAnsi="Times New Roman" w:cs="Times New Roman"/>
        </w:rPr>
      </w:pPr>
      <w:r w:rsidRPr="004504DD">
        <w:rPr>
          <w:rFonts w:ascii="Times New Roman" w:hAnsi="Times New Roman" w:cs="Times New Roman"/>
        </w:rPr>
        <w:t>If there is no formally appointed health care proxy, in order of priority:</w:t>
      </w:r>
    </w:p>
    <w:p w:rsidR="00DB5959" w:rsidRPr="004504DD" w:rsidRDefault="00DB5959" w:rsidP="00DB59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504DD">
        <w:rPr>
          <w:rFonts w:ascii="Times New Roman" w:hAnsi="Times New Roman" w:cs="Times New Roman"/>
        </w:rPr>
        <w:t>Court-appointed guardian (if there is one)</w:t>
      </w:r>
    </w:p>
    <w:p w:rsidR="00DB5959" w:rsidRPr="004504DD" w:rsidRDefault="00DB5959" w:rsidP="00DB59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504DD">
        <w:rPr>
          <w:rFonts w:ascii="Times New Roman" w:hAnsi="Times New Roman" w:cs="Times New Roman"/>
        </w:rPr>
        <w:t>The spouse or domestic partner</w:t>
      </w:r>
    </w:p>
    <w:p w:rsidR="00DB5959" w:rsidRPr="004504DD" w:rsidRDefault="00DB5959" w:rsidP="00DB59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504DD">
        <w:rPr>
          <w:rFonts w:ascii="Times New Roman" w:hAnsi="Times New Roman" w:cs="Times New Roman"/>
        </w:rPr>
        <w:t>An adult child</w:t>
      </w:r>
    </w:p>
    <w:p w:rsidR="00DB5959" w:rsidRPr="004504DD" w:rsidRDefault="00DB5959" w:rsidP="00DB59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504DD">
        <w:rPr>
          <w:rFonts w:ascii="Times New Roman" w:hAnsi="Times New Roman" w:cs="Times New Roman"/>
        </w:rPr>
        <w:t>A parent</w:t>
      </w:r>
    </w:p>
    <w:p w:rsidR="00DB5959" w:rsidRPr="004504DD" w:rsidRDefault="00DB5959" w:rsidP="00DB59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504DD">
        <w:rPr>
          <w:rFonts w:ascii="Times New Roman" w:hAnsi="Times New Roman" w:cs="Times New Roman"/>
        </w:rPr>
        <w:t>A brother or sister</w:t>
      </w:r>
    </w:p>
    <w:p w:rsidR="00DB5959" w:rsidRPr="004504DD" w:rsidRDefault="00DB5959" w:rsidP="00DB59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504DD">
        <w:rPr>
          <w:rFonts w:ascii="Times New Roman" w:hAnsi="Times New Roman" w:cs="Times New Roman"/>
        </w:rPr>
        <w:t>A close friend</w:t>
      </w:r>
    </w:p>
    <w:p w:rsidR="00DB5959" w:rsidRDefault="00DB5959" w:rsidP="00DB5959">
      <w:pPr>
        <w:pStyle w:val="NoSpacing"/>
        <w:rPr>
          <w:rFonts w:ascii="Times New Roman" w:hAnsi="Times New Roman" w:cs="Times New Roman"/>
        </w:rPr>
      </w:pPr>
    </w:p>
    <w:p w:rsidR="00DB5959" w:rsidRPr="004504DD" w:rsidRDefault="00DB5959" w:rsidP="00DB5959">
      <w:pPr>
        <w:pStyle w:val="NoSpacing"/>
        <w:rPr>
          <w:rFonts w:ascii="Times New Roman" w:hAnsi="Times New Roman" w:cs="Times New Roman"/>
        </w:rPr>
      </w:pPr>
      <w:r w:rsidRPr="004504DD">
        <w:rPr>
          <w:rFonts w:ascii="Times New Roman" w:hAnsi="Times New Roman" w:cs="Times New Roman"/>
        </w:rPr>
        <w:lastRenderedPageBreak/>
        <w:t>Having this priority list will be of significant help in many situations where someone has not designated a health care agent and where there is no disagreement about treatment choices within the priority surrogates.</w:t>
      </w:r>
    </w:p>
    <w:p w:rsidR="00DB5959" w:rsidRPr="004504DD" w:rsidRDefault="00DB5959" w:rsidP="00DB5959">
      <w:pPr>
        <w:pStyle w:val="NoSpacing"/>
        <w:rPr>
          <w:rFonts w:ascii="Times New Roman" w:hAnsi="Times New Roman" w:cs="Times New Roman"/>
        </w:rPr>
      </w:pPr>
    </w:p>
    <w:p w:rsidR="00DB5959" w:rsidRPr="004504DD" w:rsidRDefault="00DB5959" w:rsidP="00DB5959">
      <w:pPr>
        <w:pStyle w:val="NoSpacing"/>
        <w:rPr>
          <w:rFonts w:ascii="Times New Roman" w:hAnsi="Times New Roman" w:cs="Times New Roman"/>
        </w:rPr>
      </w:pPr>
      <w:r w:rsidRPr="004504DD">
        <w:rPr>
          <w:rFonts w:ascii="Times New Roman" w:hAnsi="Times New Roman" w:cs="Times New Roman"/>
        </w:rPr>
        <w:t xml:space="preserve">The priority ranking could still leave two or more people with equal decision-making authority; for example, in situations where there are two or more in that category (children, or parents, or siblings).  If you are NOT comfortable with this priority </w:t>
      </w:r>
      <w:r>
        <w:rPr>
          <w:rFonts w:ascii="Times New Roman" w:hAnsi="Times New Roman" w:cs="Times New Roman"/>
        </w:rPr>
        <w:t>order</w:t>
      </w:r>
      <w:r w:rsidRPr="004504DD">
        <w:rPr>
          <w:rFonts w:ascii="Times New Roman" w:hAnsi="Times New Roman" w:cs="Times New Roman"/>
        </w:rPr>
        <w:t>, it is important to designate a health care proxy.  Otherwise health care providers will need to abide by the priorities identified in the Family Health Care Decisions Act.</w:t>
      </w:r>
    </w:p>
    <w:p w:rsidR="00DB5959" w:rsidRPr="004504DD" w:rsidRDefault="00DB5959" w:rsidP="00DB5959">
      <w:pPr>
        <w:pStyle w:val="NoSpacing"/>
        <w:rPr>
          <w:rFonts w:ascii="Times New Roman" w:hAnsi="Times New Roman" w:cs="Times New Roman"/>
        </w:rPr>
      </w:pPr>
    </w:p>
    <w:p w:rsidR="00DB5959" w:rsidRPr="004504DD" w:rsidRDefault="00DB5959" w:rsidP="00DB5959">
      <w:pPr>
        <w:pStyle w:val="NoSpacing"/>
        <w:rPr>
          <w:rFonts w:ascii="Times New Roman" w:hAnsi="Times New Roman" w:cs="Times New Roman"/>
        </w:rPr>
      </w:pPr>
      <w:r w:rsidRPr="004504DD">
        <w:rPr>
          <w:rFonts w:ascii="Times New Roman" w:hAnsi="Times New Roman" w:cs="Times New Roman"/>
        </w:rPr>
        <w:t xml:space="preserve">The Family Health Care Decisions Act DOES NOT </w:t>
      </w:r>
      <w:proofErr w:type="gramStart"/>
      <w:r w:rsidRPr="004504DD">
        <w:rPr>
          <w:rFonts w:ascii="Times New Roman" w:hAnsi="Times New Roman" w:cs="Times New Roman"/>
        </w:rPr>
        <w:t>eliminate</w:t>
      </w:r>
      <w:proofErr w:type="gramEnd"/>
      <w:r w:rsidRPr="004504DD">
        <w:rPr>
          <w:rFonts w:ascii="Times New Roman" w:hAnsi="Times New Roman" w:cs="Times New Roman"/>
        </w:rPr>
        <w:t xml:space="preserve"> the need for open and honest conversations with loved ones about your wishe</w:t>
      </w:r>
      <w:r>
        <w:rPr>
          <w:rFonts w:ascii="Times New Roman" w:hAnsi="Times New Roman" w:cs="Times New Roman"/>
        </w:rPr>
        <w:t>s for medical care.</w:t>
      </w:r>
      <w:r w:rsidRPr="004504DD">
        <w:rPr>
          <w:rFonts w:ascii="Times New Roman" w:hAnsi="Times New Roman" w:cs="Times New Roman"/>
        </w:rPr>
        <w:tab/>
      </w:r>
      <w:r w:rsidRPr="004504DD">
        <w:rPr>
          <w:rFonts w:ascii="Times New Roman" w:hAnsi="Times New Roman" w:cs="Times New Roman"/>
        </w:rPr>
        <w:tab/>
      </w:r>
    </w:p>
    <w:p w:rsidR="00DB5959" w:rsidRDefault="00DB5959" w:rsidP="00DB5959">
      <w:pPr>
        <w:pStyle w:val="NoSpacing"/>
        <w:rPr>
          <w:rFonts w:ascii="Times New Roman" w:hAnsi="Times New Roman" w:cs="Times New Roman"/>
        </w:rPr>
        <w:sectPr w:rsidR="00DB5959" w:rsidSect="003A12BF">
          <w:type w:val="continuous"/>
          <w:pgSz w:w="12240" w:h="20160" w:code="5"/>
          <w:pgMar w:top="720" w:right="720" w:bottom="720" w:left="720" w:header="720" w:footer="720" w:gutter="0"/>
          <w:cols w:num="2" w:space="540"/>
          <w:docGrid w:linePitch="360"/>
        </w:sectPr>
      </w:pPr>
    </w:p>
    <w:p w:rsidR="00DB5959" w:rsidRPr="004504DD" w:rsidRDefault="00DB5959" w:rsidP="00DB5959">
      <w:pPr>
        <w:pStyle w:val="NoSpacing"/>
        <w:rPr>
          <w:rFonts w:ascii="Times New Roman" w:hAnsi="Times New Roman" w:cs="Times New Roman"/>
        </w:rPr>
      </w:pPr>
    </w:p>
    <w:p w:rsidR="00DB5959" w:rsidRPr="003A12BF" w:rsidRDefault="00DB5959" w:rsidP="00DB595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A12BF">
        <w:rPr>
          <w:rFonts w:ascii="Times New Roman" w:hAnsi="Times New Roman" w:cs="Times New Roman"/>
          <w:b/>
          <w:sz w:val="24"/>
          <w:szCs w:val="24"/>
        </w:rPr>
        <w:t>For more information</w:t>
      </w:r>
    </w:p>
    <w:p w:rsidR="00DB5959" w:rsidRPr="004504DD" w:rsidRDefault="00DB5959" w:rsidP="00DB5959">
      <w:pPr>
        <w:pStyle w:val="NoSpacing"/>
        <w:rPr>
          <w:rFonts w:ascii="Times New Roman" w:hAnsi="Times New Roman" w:cs="Times New Roman"/>
        </w:rPr>
      </w:pPr>
    </w:p>
    <w:p w:rsidR="00DB5959" w:rsidRDefault="00DB5959" w:rsidP="00DB59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Human Services Coalition of Tompkins County – additional </w:t>
      </w:r>
      <w:r w:rsidRPr="002268B6">
        <w:rPr>
          <w:rFonts w:ascii="Times New Roman" w:hAnsi="Times New Roman" w:cs="Times New Roman"/>
          <w:i/>
        </w:rPr>
        <w:t>Sharing Your Wishes</w:t>
      </w:r>
      <w:r>
        <w:rPr>
          <w:rFonts w:ascii="Times New Roman" w:hAnsi="Times New Roman" w:cs="Times New Roman"/>
        </w:rPr>
        <w:t xml:space="preserve"> materials and support (</w:t>
      </w:r>
      <w:hyperlink r:id="rId8" w:history="1">
        <w:r w:rsidRPr="00737252">
          <w:rPr>
            <w:rStyle w:val="Hyperlink"/>
            <w:rFonts w:ascii="Times New Roman" w:hAnsi="Times New Roman" w:cs="Times New Roman"/>
          </w:rPr>
          <w:t>www.hsctc.org</w:t>
        </w:r>
      </w:hyperlink>
      <w:r>
        <w:rPr>
          <w:rFonts w:ascii="Times New Roman" w:hAnsi="Times New Roman" w:cs="Times New Roman"/>
        </w:rPr>
        <w:t xml:space="preserve"> or 607-273-8686)</w:t>
      </w:r>
    </w:p>
    <w:p w:rsidR="00DB5959" w:rsidRDefault="00DB5959" w:rsidP="00DB5959">
      <w:pPr>
        <w:pStyle w:val="NoSpacing"/>
        <w:rPr>
          <w:rFonts w:ascii="Times New Roman" w:hAnsi="Times New Roman" w:cs="Times New Roman"/>
        </w:rPr>
      </w:pPr>
    </w:p>
    <w:p w:rsidR="00DB5959" w:rsidRPr="004504DD" w:rsidRDefault="00DB5959" w:rsidP="00DB5959">
      <w:pPr>
        <w:pStyle w:val="NoSpacing"/>
        <w:rPr>
          <w:rFonts w:ascii="Times New Roman" w:hAnsi="Times New Roman" w:cs="Times New Roman"/>
        </w:rPr>
      </w:pPr>
      <w:r w:rsidRPr="004504DD">
        <w:rPr>
          <w:rFonts w:ascii="Times New Roman" w:hAnsi="Times New Roman" w:cs="Times New Roman"/>
        </w:rPr>
        <w:t xml:space="preserve">Compassion and Support – detailed resources for advance health care planning </w:t>
      </w:r>
      <w:r>
        <w:rPr>
          <w:rFonts w:ascii="Times New Roman" w:hAnsi="Times New Roman" w:cs="Times New Roman"/>
        </w:rPr>
        <w:t>(</w:t>
      </w:r>
      <w:hyperlink r:id="rId9" w:history="1">
        <w:r w:rsidRPr="00AD6762">
          <w:rPr>
            <w:rStyle w:val="Hyperlink"/>
            <w:rFonts w:ascii="Times New Roman" w:hAnsi="Times New Roman" w:cs="Times New Roman"/>
          </w:rPr>
          <w:t>www.compassionandsupport.org</w:t>
        </w:r>
      </w:hyperlink>
      <w:r w:rsidRPr="004504D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DB5959" w:rsidRPr="004504DD" w:rsidRDefault="00DB5959" w:rsidP="00DB5959">
      <w:pPr>
        <w:pStyle w:val="NoSpacing"/>
        <w:rPr>
          <w:rFonts w:ascii="Times New Roman" w:hAnsi="Times New Roman" w:cs="Times New Roman"/>
        </w:rPr>
      </w:pPr>
    </w:p>
    <w:p w:rsidR="00DB5959" w:rsidRPr="004504DD" w:rsidRDefault="00DB5959" w:rsidP="00DB5959">
      <w:pPr>
        <w:pStyle w:val="NoSpacing"/>
        <w:rPr>
          <w:rFonts w:ascii="Times New Roman" w:hAnsi="Times New Roman" w:cs="Times New Roman"/>
        </w:rPr>
      </w:pPr>
      <w:r w:rsidRPr="004504DD">
        <w:rPr>
          <w:rFonts w:ascii="Times New Roman" w:hAnsi="Times New Roman" w:cs="Times New Roman"/>
        </w:rPr>
        <w:t>New York State Health Department –</w:t>
      </w:r>
      <w:r>
        <w:rPr>
          <w:rFonts w:ascii="Times New Roman" w:hAnsi="Times New Roman" w:cs="Times New Roman"/>
        </w:rPr>
        <w:t xml:space="preserve"> </w:t>
      </w:r>
      <w:r w:rsidRPr="004504DD">
        <w:rPr>
          <w:rFonts w:ascii="Times New Roman" w:hAnsi="Times New Roman" w:cs="Times New Roman"/>
        </w:rPr>
        <w:t>“Health Care:  A Guide for Patients and Families” (</w:t>
      </w:r>
      <w:hyperlink r:id="rId10" w:history="1">
        <w:r w:rsidRPr="00AD6762">
          <w:rPr>
            <w:rStyle w:val="Hyperlink"/>
            <w:rFonts w:ascii="Times New Roman" w:hAnsi="Times New Roman" w:cs="Times New Roman"/>
          </w:rPr>
          <w:t>www.health.ny.gov/publications/1503.pdf</w:t>
        </w:r>
      </w:hyperlink>
      <w:r w:rsidRPr="004504D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DB5959" w:rsidRPr="004504DD" w:rsidRDefault="00DB5959" w:rsidP="00DB5959">
      <w:pPr>
        <w:pStyle w:val="NoSpacing"/>
        <w:rPr>
          <w:rFonts w:ascii="Times New Roman" w:hAnsi="Times New Roman" w:cs="Times New Roman"/>
        </w:rPr>
      </w:pPr>
    </w:p>
    <w:p w:rsidR="00DB5959" w:rsidRPr="004504DD" w:rsidRDefault="00DB5959" w:rsidP="00DB5959">
      <w:pPr>
        <w:pStyle w:val="NoSpacing"/>
        <w:rPr>
          <w:rFonts w:ascii="Times New Roman" w:hAnsi="Times New Roman" w:cs="Times New Roman"/>
        </w:rPr>
      </w:pPr>
      <w:r w:rsidRPr="004504DD">
        <w:rPr>
          <w:rFonts w:ascii="Times New Roman" w:hAnsi="Times New Roman" w:cs="Times New Roman"/>
        </w:rPr>
        <w:t>New York State Bar Association – Family Health Care Decisions Act Information Center (</w:t>
      </w:r>
      <w:hyperlink r:id="rId11" w:history="1">
        <w:r w:rsidRPr="00AD6762">
          <w:rPr>
            <w:rStyle w:val="Hyperlink"/>
            <w:rFonts w:ascii="Times New Roman" w:hAnsi="Times New Roman" w:cs="Times New Roman"/>
          </w:rPr>
          <w:t>www.nysba.org/fhcda</w:t>
        </w:r>
      </w:hyperlink>
      <w:r w:rsidRPr="004504D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4504DD">
        <w:rPr>
          <w:rFonts w:ascii="Times New Roman" w:hAnsi="Times New Roman" w:cs="Times New Roman"/>
        </w:rPr>
        <w:t xml:space="preserve">     </w:t>
      </w:r>
    </w:p>
    <w:p w:rsidR="004B23B4" w:rsidRDefault="004B23B4"/>
    <w:sectPr w:rsidR="004B23B4" w:rsidSect="004504DD">
      <w:type w:val="continuous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A3735"/>
    <w:multiLevelType w:val="hybridMultilevel"/>
    <w:tmpl w:val="37504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59"/>
    <w:rsid w:val="004B23B4"/>
    <w:rsid w:val="00DB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9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59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9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59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ctc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health.state.ny.us/professionals/patients/patient_rights/mol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.ny.gov" TargetMode="External"/><Relationship Id="rId11" Type="http://schemas.openxmlformats.org/officeDocument/2006/relationships/hyperlink" Target="http://www.nysba.org/fhcd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ealth.ny.gov/publications/150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assionandsuppo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</dc:creator>
  <cp:lastModifiedBy>HSC</cp:lastModifiedBy>
  <cp:revision>1</cp:revision>
  <dcterms:created xsi:type="dcterms:W3CDTF">2017-05-02T14:27:00Z</dcterms:created>
  <dcterms:modified xsi:type="dcterms:W3CDTF">2017-05-02T14:28:00Z</dcterms:modified>
</cp:coreProperties>
</file>