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A99C" w14:textId="77777777" w:rsidR="004C61F3" w:rsidRDefault="004C61F3" w:rsidP="00587640">
      <w:pPr>
        <w:jc w:val="center"/>
        <w:rPr>
          <w:b/>
          <w:smallCaps/>
          <w:sz w:val="56"/>
        </w:rPr>
      </w:pPr>
    </w:p>
    <w:p w14:paraId="6A0F837C" w14:textId="77777777" w:rsidR="00587640" w:rsidRPr="00712A68" w:rsidRDefault="00587640" w:rsidP="00587640">
      <w:pPr>
        <w:jc w:val="center"/>
        <w:rPr>
          <w:rFonts w:asciiTheme="minorHAnsi" w:hAnsiTheme="minorHAnsi" w:cstheme="minorHAnsi"/>
          <w:smallCaps/>
          <w:sz w:val="56"/>
        </w:rPr>
      </w:pPr>
      <w:r w:rsidRPr="00712A68">
        <w:rPr>
          <w:rFonts w:asciiTheme="minorHAnsi" w:hAnsiTheme="minorHAnsi" w:cstheme="minorHAnsi"/>
          <w:smallCaps/>
          <w:sz w:val="56"/>
        </w:rPr>
        <w:t xml:space="preserve">Ithaca / Tompkins County Continuum of Care </w:t>
      </w:r>
    </w:p>
    <w:p w14:paraId="703426A1" w14:textId="77777777" w:rsidR="00587640" w:rsidRPr="00712A68" w:rsidRDefault="00587640" w:rsidP="0019004A">
      <w:pPr>
        <w:jc w:val="center"/>
        <w:rPr>
          <w:rFonts w:asciiTheme="minorHAnsi" w:hAnsiTheme="minorHAnsi" w:cstheme="minorHAnsi"/>
          <w:smallCaps/>
          <w:sz w:val="56"/>
        </w:rPr>
      </w:pPr>
      <w:r w:rsidRPr="00712A68">
        <w:rPr>
          <w:rFonts w:asciiTheme="minorHAnsi" w:hAnsiTheme="minorHAnsi" w:cstheme="minorHAnsi"/>
          <w:smallCaps/>
          <w:sz w:val="56"/>
        </w:rPr>
        <w:t xml:space="preserve">(CoC NY-510) </w:t>
      </w:r>
    </w:p>
    <w:p w14:paraId="1BBAE5A0" w14:textId="77777777" w:rsidR="0019004A" w:rsidRPr="00BA3B56" w:rsidRDefault="0019004A" w:rsidP="00587640">
      <w:pPr>
        <w:pStyle w:val="BodyText"/>
        <w:rPr>
          <w:rFonts w:asciiTheme="minorHAnsi" w:hAnsiTheme="minorHAnsi" w:cstheme="minorHAnsi"/>
          <w:sz w:val="56"/>
        </w:rPr>
      </w:pPr>
    </w:p>
    <w:p w14:paraId="6C07FDC5" w14:textId="77777777" w:rsidR="0019004A" w:rsidRPr="00BA3B56" w:rsidRDefault="0019004A" w:rsidP="00587640">
      <w:pPr>
        <w:pStyle w:val="BodyText"/>
        <w:rPr>
          <w:rFonts w:asciiTheme="minorHAnsi" w:hAnsiTheme="minorHAnsi" w:cstheme="minorHAnsi"/>
          <w:sz w:val="56"/>
        </w:rPr>
      </w:pPr>
    </w:p>
    <w:p w14:paraId="099F55D2" w14:textId="77777777" w:rsidR="00FF0226" w:rsidRPr="00712A68" w:rsidRDefault="0041795B" w:rsidP="00587640">
      <w:pPr>
        <w:pStyle w:val="BodyText"/>
        <w:rPr>
          <w:rFonts w:asciiTheme="minorHAnsi" w:hAnsiTheme="minorHAnsi" w:cstheme="minorHAnsi"/>
          <w:b w:val="0"/>
          <w:sz w:val="56"/>
        </w:rPr>
      </w:pPr>
      <w:r w:rsidRPr="00712A68">
        <w:rPr>
          <w:rFonts w:asciiTheme="minorHAnsi" w:hAnsiTheme="minorHAnsi" w:cstheme="minorHAnsi"/>
          <w:b w:val="0"/>
          <w:sz w:val="56"/>
        </w:rPr>
        <w:t>Rank</w:t>
      </w:r>
      <w:r w:rsidR="00587640" w:rsidRPr="00712A68">
        <w:rPr>
          <w:rFonts w:asciiTheme="minorHAnsi" w:hAnsiTheme="minorHAnsi" w:cstheme="minorHAnsi"/>
          <w:b w:val="0"/>
          <w:sz w:val="56"/>
        </w:rPr>
        <w:t>in</w:t>
      </w:r>
      <w:r w:rsidR="009B779E" w:rsidRPr="00712A68">
        <w:rPr>
          <w:rFonts w:asciiTheme="minorHAnsi" w:hAnsiTheme="minorHAnsi" w:cstheme="minorHAnsi"/>
          <w:b w:val="0"/>
          <w:sz w:val="56"/>
        </w:rPr>
        <w:t>g and Review Process for FY2018</w:t>
      </w:r>
      <w:r w:rsidR="00B07E05" w:rsidRPr="00712A68">
        <w:rPr>
          <w:rFonts w:asciiTheme="minorHAnsi" w:hAnsiTheme="minorHAnsi" w:cstheme="minorHAnsi"/>
          <w:b w:val="0"/>
          <w:sz w:val="56"/>
        </w:rPr>
        <w:t xml:space="preserve"> </w:t>
      </w:r>
      <w:r w:rsidR="000C0B6F" w:rsidRPr="00712A68">
        <w:rPr>
          <w:rFonts w:asciiTheme="minorHAnsi" w:hAnsiTheme="minorHAnsi" w:cstheme="minorHAnsi"/>
          <w:b w:val="0"/>
          <w:sz w:val="56"/>
        </w:rPr>
        <w:t xml:space="preserve">Program Competition </w:t>
      </w:r>
    </w:p>
    <w:p w14:paraId="40AC1874" w14:textId="77777777" w:rsidR="00587640" w:rsidRPr="00BA3B56" w:rsidRDefault="00587640" w:rsidP="00587640">
      <w:pPr>
        <w:jc w:val="center"/>
        <w:rPr>
          <w:rFonts w:asciiTheme="minorHAnsi" w:hAnsiTheme="minorHAnsi" w:cstheme="minorHAnsi"/>
          <w:b/>
          <w:sz w:val="44"/>
          <w:szCs w:val="44"/>
        </w:rPr>
      </w:pPr>
    </w:p>
    <w:p w14:paraId="2532F8B4" w14:textId="77777777" w:rsidR="00587640" w:rsidRPr="00BA3B56" w:rsidRDefault="00587640" w:rsidP="00587640">
      <w:pPr>
        <w:jc w:val="center"/>
        <w:rPr>
          <w:rFonts w:asciiTheme="minorHAnsi" w:hAnsiTheme="minorHAnsi" w:cstheme="minorHAnsi"/>
          <w:b/>
          <w:color w:val="1F497D" w:themeColor="text2"/>
          <w:sz w:val="44"/>
          <w:szCs w:val="44"/>
        </w:rPr>
      </w:pPr>
    </w:p>
    <w:p w14:paraId="2F7BCDB6" w14:textId="77777777" w:rsidR="00587640" w:rsidRPr="00BA3B56" w:rsidRDefault="00587640" w:rsidP="00587640">
      <w:pPr>
        <w:jc w:val="center"/>
        <w:rPr>
          <w:rFonts w:asciiTheme="minorHAnsi" w:hAnsiTheme="minorHAnsi" w:cstheme="minorHAnsi"/>
          <w:b/>
          <w:color w:val="1F497D" w:themeColor="text2"/>
          <w:sz w:val="44"/>
          <w:szCs w:val="44"/>
        </w:rPr>
      </w:pPr>
    </w:p>
    <w:p w14:paraId="3B8F7B0F" w14:textId="77777777" w:rsidR="00587640" w:rsidRPr="00BA3B56" w:rsidRDefault="00587640" w:rsidP="00587640">
      <w:pPr>
        <w:jc w:val="center"/>
        <w:rPr>
          <w:rFonts w:asciiTheme="minorHAnsi" w:hAnsiTheme="minorHAnsi" w:cstheme="minorHAnsi"/>
          <w:b/>
          <w:sz w:val="44"/>
          <w:szCs w:val="44"/>
        </w:rPr>
      </w:pPr>
    </w:p>
    <w:p w14:paraId="0A70D448" w14:textId="77777777" w:rsidR="0019004A" w:rsidRPr="00BA3B56" w:rsidRDefault="0019004A" w:rsidP="00587640">
      <w:pPr>
        <w:pStyle w:val="BodyText2"/>
        <w:rPr>
          <w:rFonts w:asciiTheme="minorHAnsi" w:hAnsiTheme="minorHAnsi" w:cstheme="minorHAnsi"/>
          <w:b w:val="0"/>
          <w:sz w:val="28"/>
          <w:szCs w:val="28"/>
        </w:rPr>
      </w:pPr>
    </w:p>
    <w:p w14:paraId="258C7BDD" w14:textId="77777777" w:rsidR="0019004A" w:rsidRPr="00BA3B56" w:rsidRDefault="0019004A" w:rsidP="00587640">
      <w:pPr>
        <w:pStyle w:val="BodyText2"/>
        <w:rPr>
          <w:rFonts w:asciiTheme="minorHAnsi" w:hAnsiTheme="minorHAnsi" w:cstheme="minorHAnsi"/>
          <w:b w:val="0"/>
          <w:sz w:val="28"/>
          <w:szCs w:val="28"/>
        </w:rPr>
      </w:pPr>
    </w:p>
    <w:p w14:paraId="19789F7C" w14:textId="77777777" w:rsidR="0019004A" w:rsidRPr="00BA3B56" w:rsidRDefault="0019004A" w:rsidP="00587640">
      <w:pPr>
        <w:pStyle w:val="BodyText2"/>
        <w:rPr>
          <w:rFonts w:asciiTheme="minorHAnsi" w:hAnsiTheme="minorHAnsi" w:cstheme="minorHAnsi"/>
          <w:b w:val="0"/>
          <w:sz w:val="28"/>
          <w:szCs w:val="28"/>
        </w:rPr>
      </w:pPr>
    </w:p>
    <w:p w14:paraId="438B157D" w14:textId="77777777" w:rsidR="0019004A" w:rsidRPr="00BA3B56" w:rsidRDefault="0019004A" w:rsidP="00587640">
      <w:pPr>
        <w:pStyle w:val="BodyText2"/>
        <w:rPr>
          <w:rFonts w:asciiTheme="minorHAnsi" w:hAnsiTheme="minorHAnsi" w:cstheme="minorHAnsi"/>
          <w:b w:val="0"/>
          <w:sz w:val="28"/>
          <w:szCs w:val="28"/>
        </w:rPr>
      </w:pPr>
    </w:p>
    <w:p w14:paraId="49C43427" w14:textId="77777777" w:rsidR="0019004A" w:rsidRPr="00BA3B56" w:rsidRDefault="0019004A" w:rsidP="00587640">
      <w:pPr>
        <w:pStyle w:val="BodyText2"/>
        <w:rPr>
          <w:rFonts w:asciiTheme="minorHAnsi" w:hAnsiTheme="minorHAnsi" w:cstheme="minorHAnsi"/>
          <w:b w:val="0"/>
          <w:sz w:val="28"/>
          <w:szCs w:val="28"/>
        </w:rPr>
      </w:pPr>
    </w:p>
    <w:p w14:paraId="07118A8C" w14:textId="6445FD69" w:rsidR="00587640" w:rsidRDefault="00F700C6" w:rsidP="00587640">
      <w:pPr>
        <w:pStyle w:val="BodyText2"/>
        <w:rPr>
          <w:rFonts w:asciiTheme="minorHAnsi" w:hAnsiTheme="minorHAnsi" w:cstheme="minorHAnsi"/>
          <w:b w:val="0"/>
          <w:sz w:val="24"/>
          <w:szCs w:val="24"/>
        </w:rPr>
      </w:pPr>
      <w:r w:rsidRPr="00175800">
        <w:rPr>
          <w:rFonts w:asciiTheme="minorHAnsi" w:hAnsiTheme="minorHAnsi" w:cstheme="minorHAnsi"/>
          <w:b w:val="0"/>
          <w:sz w:val="24"/>
          <w:szCs w:val="24"/>
        </w:rPr>
        <w:t xml:space="preserve">The Human Services </w:t>
      </w:r>
      <w:r w:rsidR="001F7651" w:rsidRPr="00175800">
        <w:rPr>
          <w:rFonts w:asciiTheme="minorHAnsi" w:hAnsiTheme="minorHAnsi" w:cstheme="minorHAnsi"/>
          <w:b w:val="0"/>
          <w:sz w:val="24"/>
          <w:szCs w:val="24"/>
        </w:rPr>
        <w:t>Coalition</w:t>
      </w:r>
      <w:r w:rsidRPr="00175800">
        <w:rPr>
          <w:rFonts w:asciiTheme="minorHAnsi" w:hAnsiTheme="minorHAnsi" w:cstheme="minorHAnsi"/>
          <w:b w:val="0"/>
          <w:sz w:val="24"/>
          <w:szCs w:val="24"/>
        </w:rPr>
        <w:t xml:space="preserve"> of Tompkins County</w:t>
      </w:r>
      <w:r w:rsidR="00DB523E" w:rsidRPr="00175800">
        <w:rPr>
          <w:rFonts w:asciiTheme="minorHAnsi" w:hAnsiTheme="minorHAnsi" w:cstheme="minorHAnsi"/>
          <w:b w:val="0"/>
          <w:sz w:val="24"/>
          <w:szCs w:val="24"/>
        </w:rPr>
        <w:t xml:space="preserve">, the lead agency for the Ithaca/Tompkins Continuum of </w:t>
      </w:r>
      <w:r w:rsidR="009B779E" w:rsidRPr="00175800">
        <w:rPr>
          <w:rFonts w:asciiTheme="minorHAnsi" w:hAnsiTheme="minorHAnsi" w:cstheme="minorHAnsi"/>
          <w:b w:val="0"/>
          <w:sz w:val="24"/>
          <w:szCs w:val="24"/>
        </w:rPr>
        <w:t>Care (CoC), serves</w:t>
      </w:r>
      <w:r w:rsidR="00587640" w:rsidRPr="00175800">
        <w:rPr>
          <w:rFonts w:asciiTheme="minorHAnsi" w:hAnsiTheme="minorHAnsi" w:cstheme="minorHAnsi"/>
          <w:b w:val="0"/>
          <w:sz w:val="24"/>
          <w:szCs w:val="24"/>
        </w:rPr>
        <w:t xml:space="preserve"> as the collaborative applicant for the annual</w:t>
      </w:r>
      <w:r w:rsidR="009B779E" w:rsidRPr="00175800">
        <w:rPr>
          <w:rFonts w:asciiTheme="minorHAnsi" w:hAnsiTheme="minorHAnsi" w:cstheme="minorHAnsi"/>
          <w:b w:val="0"/>
          <w:sz w:val="24"/>
          <w:szCs w:val="24"/>
        </w:rPr>
        <w:t xml:space="preserve"> Department of Housing and Urban Development (</w:t>
      </w:r>
      <w:r w:rsidR="00587640" w:rsidRPr="00175800">
        <w:rPr>
          <w:rFonts w:asciiTheme="minorHAnsi" w:hAnsiTheme="minorHAnsi" w:cstheme="minorHAnsi"/>
          <w:b w:val="0"/>
          <w:sz w:val="24"/>
          <w:szCs w:val="24"/>
        </w:rPr>
        <w:t>HUD</w:t>
      </w:r>
      <w:r w:rsidR="009B779E" w:rsidRPr="00175800">
        <w:rPr>
          <w:rFonts w:asciiTheme="minorHAnsi" w:hAnsiTheme="minorHAnsi" w:cstheme="minorHAnsi"/>
          <w:b w:val="0"/>
          <w:sz w:val="24"/>
          <w:szCs w:val="24"/>
        </w:rPr>
        <w:t xml:space="preserve">) </w:t>
      </w:r>
      <w:r w:rsidR="00587640" w:rsidRPr="00175800">
        <w:rPr>
          <w:rFonts w:asciiTheme="minorHAnsi" w:hAnsiTheme="minorHAnsi" w:cstheme="minorHAnsi"/>
          <w:b w:val="0"/>
          <w:sz w:val="24"/>
          <w:szCs w:val="24"/>
        </w:rPr>
        <w:t xml:space="preserve">competitive grant process for homeless funding. </w:t>
      </w:r>
      <w:r w:rsidRPr="00175800">
        <w:rPr>
          <w:rFonts w:asciiTheme="minorHAnsi" w:hAnsiTheme="minorHAnsi" w:cstheme="minorHAnsi"/>
          <w:b w:val="0"/>
          <w:sz w:val="24"/>
          <w:szCs w:val="24"/>
        </w:rPr>
        <w:t xml:space="preserve">The </w:t>
      </w:r>
      <w:r w:rsidR="00DB523E" w:rsidRPr="00175800">
        <w:rPr>
          <w:rFonts w:asciiTheme="minorHAnsi" w:hAnsiTheme="minorHAnsi" w:cstheme="minorHAnsi"/>
          <w:b w:val="0"/>
          <w:sz w:val="24"/>
          <w:szCs w:val="24"/>
        </w:rPr>
        <w:t>CoC</w:t>
      </w:r>
      <w:r w:rsidRPr="00175800">
        <w:rPr>
          <w:rFonts w:asciiTheme="minorHAnsi" w:hAnsiTheme="minorHAnsi" w:cstheme="minorHAnsi"/>
          <w:b w:val="0"/>
          <w:sz w:val="24"/>
          <w:szCs w:val="24"/>
        </w:rPr>
        <w:t xml:space="preserve"> submits the application each year requesting funding to support the homeless service providers in the geographic area. </w:t>
      </w:r>
      <w:r w:rsidR="00DB523E" w:rsidRPr="00175800">
        <w:rPr>
          <w:rFonts w:asciiTheme="minorHAnsi" w:hAnsiTheme="minorHAnsi" w:cstheme="minorHAnsi"/>
          <w:b w:val="0"/>
          <w:sz w:val="24"/>
          <w:szCs w:val="24"/>
        </w:rPr>
        <w:t xml:space="preserve"> As part of this grant process, the CoC calls for project applicants to submit proposals for housing and s</w:t>
      </w:r>
      <w:r w:rsidR="00242807">
        <w:rPr>
          <w:rFonts w:asciiTheme="minorHAnsi" w:hAnsiTheme="minorHAnsi" w:cstheme="minorHAnsi"/>
          <w:b w:val="0"/>
          <w:sz w:val="24"/>
          <w:szCs w:val="24"/>
        </w:rPr>
        <w:t>ervices dedicated to</w:t>
      </w:r>
      <w:r w:rsidR="00DB523E" w:rsidRPr="00175800">
        <w:rPr>
          <w:rFonts w:asciiTheme="minorHAnsi" w:hAnsiTheme="minorHAnsi" w:cstheme="minorHAnsi"/>
          <w:b w:val="0"/>
          <w:sz w:val="24"/>
          <w:szCs w:val="24"/>
        </w:rPr>
        <w:t xml:space="preserve"> homeless individuals and families. </w:t>
      </w:r>
      <w:r w:rsidR="00587640" w:rsidRPr="00175800">
        <w:rPr>
          <w:rFonts w:asciiTheme="minorHAnsi" w:hAnsiTheme="minorHAnsi" w:cstheme="minorHAnsi"/>
          <w:b w:val="0"/>
          <w:sz w:val="24"/>
          <w:szCs w:val="24"/>
        </w:rPr>
        <w:t>The annual competition is usually a two-step pr</w:t>
      </w:r>
      <w:r w:rsidR="00DB523E" w:rsidRPr="00175800">
        <w:rPr>
          <w:rFonts w:asciiTheme="minorHAnsi" w:hAnsiTheme="minorHAnsi" w:cstheme="minorHAnsi"/>
          <w:b w:val="0"/>
          <w:sz w:val="24"/>
          <w:szCs w:val="24"/>
        </w:rPr>
        <w:t>ocess</w:t>
      </w:r>
      <w:r w:rsidR="009B779E" w:rsidRPr="00175800">
        <w:rPr>
          <w:rFonts w:asciiTheme="minorHAnsi" w:hAnsiTheme="minorHAnsi" w:cstheme="minorHAnsi"/>
          <w:b w:val="0"/>
          <w:sz w:val="24"/>
          <w:szCs w:val="24"/>
        </w:rPr>
        <w:t xml:space="preserve">, however for the FY2018 funding round, the CoC is requiring all projects applicants to submit an electronic application through </w:t>
      </w:r>
      <w:hyperlink r:id="rId8" w:history="1">
        <w:r w:rsidR="009B779E" w:rsidRPr="00175800">
          <w:rPr>
            <w:rStyle w:val="Hyperlink"/>
            <w:rFonts w:asciiTheme="minorHAnsi" w:hAnsiTheme="minorHAnsi" w:cstheme="minorHAnsi"/>
            <w:b w:val="0"/>
            <w:i/>
            <w:sz w:val="24"/>
            <w:szCs w:val="24"/>
          </w:rPr>
          <w:t>Esnaps</w:t>
        </w:r>
      </w:hyperlink>
      <w:r w:rsidR="009B779E" w:rsidRPr="00175800">
        <w:rPr>
          <w:rFonts w:asciiTheme="minorHAnsi" w:hAnsiTheme="minorHAnsi" w:cstheme="minorHAnsi"/>
          <w:b w:val="0"/>
          <w:sz w:val="24"/>
          <w:szCs w:val="24"/>
        </w:rPr>
        <w:t xml:space="preserve">, the CoC grant portal. </w:t>
      </w:r>
      <w:r w:rsidR="00587640" w:rsidRPr="00175800">
        <w:rPr>
          <w:rFonts w:asciiTheme="minorHAnsi" w:hAnsiTheme="minorHAnsi" w:cstheme="minorHAnsi"/>
          <w:b w:val="0"/>
          <w:sz w:val="24"/>
          <w:szCs w:val="24"/>
        </w:rPr>
        <w:t xml:space="preserve"> </w:t>
      </w:r>
      <w:r w:rsidR="00242807">
        <w:rPr>
          <w:rFonts w:asciiTheme="minorHAnsi" w:hAnsiTheme="minorHAnsi" w:cstheme="minorHAnsi"/>
          <w:b w:val="0"/>
          <w:sz w:val="24"/>
          <w:szCs w:val="24"/>
        </w:rPr>
        <w:t xml:space="preserve">Applicants must submit their application in Esnaps on or before Monday, August </w:t>
      </w:r>
      <w:proofErr w:type="gramStart"/>
      <w:r w:rsidR="00242807">
        <w:rPr>
          <w:rFonts w:asciiTheme="minorHAnsi" w:hAnsiTheme="minorHAnsi" w:cstheme="minorHAnsi"/>
          <w:b w:val="0"/>
          <w:sz w:val="24"/>
          <w:szCs w:val="24"/>
        </w:rPr>
        <w:t>13</w:t>
      </w:r>
      <w:r w:rsidR="00242807" w:rsidRPr="00242807">
        <w:rPr>
          <w:rFonts w:asciiTheme="minorHAnsi" w:hAnsiTheme="minorHAnsi" w:cstheme="minorHAnsi"/>
          <w:b w:val="0"/>
          <w:sz w:val="24"/>
          <w:szCs w:val="24"/>
          <w:vertAlign w:val="superscript"/>
        </w:rPr>
        <w:t>th</w:t>
      </w:r>
      <w:proofErr w:type="gramEnd"/>
      <w:r w:rsidR="00242807">
        <w:rPr>
          <w:rFonts w:asciiTheme="minorHAnsi" w:hAnsiTheme="minorHAnsi" w:cstheme="minorHAnsi"/>
          <w:b w:val="0"/>
          <w:sz w:val="24"/>
          <w:szCs w:val="24"/>
        </w:rPr>
        <w:t xml:space="preserve"> to be considered for funding. </w:t>
      </w:r>
    </w:p>
    <w:p w14:paraId="6C177E4F" w14:textId="2004BAB6" w:rsidR="00242807" w:rsidRDefault="00242807" w:rsidP="00587640">
      <w:pPr>
        <w:pStyle w:val="BodyText2"/>
        <w:rPr>
          <w:rFonts w:asciiTheme="minorHAnsi" w:hAnsiTheme="minorHAnsi" w:cstheme="minorHAnsi"/>
          <w:b w:val="0"/>
          <w:sz w:val="24"/>
          <w:szCs w:val="24"/>
        </w:rPr>
      </w:pPr>
      <w:r>
        <w:rPr>
          <w:rFonts w:asciiTheme="minorHAnsi" w:hAnsiTheme="minorHAnsi" w:cstheme="minorHAnsi"/>
          <w:b w:val="0"/>
          <w:sz w:val="24"/>
          <w:szCs w:val="24"/>
        </w:rPr>
        <w:t xml:space="preserve">The CoC’s Ranking Committee will review new and renewal project applications, and use objective scoring criteria to determine appropriate funding. After eligible projects </w:t>
      </w:r>
      <w:proofErr w:type="gramStart"/>
      <w:r>
        <w:rPr>
          <w:rFonts w:asciiTheme="minorHAnsi" w:hAnsiTheme="minorHAnsi" w:cstheme="minorHAnsi"/>
          <w:b w:val="0"/>
          <w:sz w:val="24"/>
          <w:szCs w:val="24"/>
        </w:rPr>
        <w:t>are reviewed and ranked,</w:t>
      </w:r>
      <w:proofErr w:type="gramEnd"/>
      <w:r>
        <w:rPr>
          <w:rFonts w:asciiTheme="minorHAnsi" w:hAnsiTheme="minorHAnsi" w:cstheme="minorHAnsi"/>
          <w:b w:val="0"/>
          <w:sz w:val="24"/>
          <w:szCs w:val="24"/>
        </w:rPr>
        <w:t xml:space="preserve"> the Ranking committee submits funding recommendations to the full CoC membership for comment. The full CoC membership then votes to submit the Collaborative Application and Project Ranking. </w:t>
      </w:r>
    </w:p>
    <w:p w14:paraId="0A40C0DA" w14:textId="0BF7010E" w:rsidR="00242807" w:rsidRDefault="00242807" w:rsidP="00587640">
      <w:pPr>
        <w:pStyle w:val="BodyText2"/>
        <w:rPr>
          <w:rFonts w:asciiTheme="minorHAnsi" w:hAnsiTheme="minorHAnsi" w:cstheme="minorHAnsi"/>
          <w:b w:val="0"/>
          <w:sz w:val="24"/>
          <w:szCs w:val="24"/>
        </w:rPr>
      </w:pPr>
      <w:r>
        <w:rPr>
          <w:rFonts w:asciiTheme="minorHAnsi" w:hAnsiTheme="minorHAnsi" w:cstheme="minorHAnsi"/>
          <w:b w:val="0"/>
          <w:sz w:val="24"/>
          <w:szCs w:val="24"/>
        </w:rPr>
        <w:t xml:space="preserve">Renewal projects are not required to answer the Requests for Proposals, however all projects will be reviewed and ranked according to CoC and HUD priorities, as well as the overall impact on the CoC system performance. Lower performing renewal projects </w:t>
      </w:r>
      <w:proofErr w:type="gramStart"/>
      <w:r>
        <w:rPr>
          <w:rFonts w:asciiTheme="minorHAnsi" w:hAnsiTheme="minorHAnsi" w:cstheme="minorHAnsi"/>
          <w:b w:val="0"/>
          <w:sz w:val="24"/>
          <w:szCs w:val="24"/>
        </w:rPr>
        <w:t>can be reallocated</w:t>
      </w:r>
      <w:proofErr w:type="gramEnd"/>
      <w:r>
        <w:rPr>
          <w:rFonts w:asciiTheme="minorHAnsi" w:hAnsiTheme="minorHAnsi" w:cstheme="minorHAnsi"/>
          <w:b w:val="0"/>
          <w:sz w:val="24"/>
          <w:szCs w:val="24"/>
        </w:rPr>
        <w:t xml:space="preserve"> to higher performing renewals or new projects that advance CoC priorities and have a positive impact on overall system performance. </w:t>
      </w:r>
    </w:p>
    <w:p w14:paraId="1DF02D63" w14:textId="377FF5A4" w:rsidR="00C80830" w:rsidRPr="00CE47AE" w:rsidRDefault="00C80830" w:rsidP="00587640">
      <w:pPr>
        <w:pStyle w:val="BodyText2"/>
        <w:rPr>
          <w:rFonts w:asciiTheme="minorHAnsi" w:hAnsiTheme="minorHAnsi" w:cstheme="minorHAnsi"/>
          <w:b w:val="0"/>
          <w:i/>
          <w:sz w:val="24"/>
          <w:szCs w:val="24"/>
        </w:rPr>
      </w:pPr>
      <w:r w:rsidRPr="00CE47AE">
        <w:rPr>
          <w:rFonts w:asciiTheme="minorHAnsi" w:hAnsiTheme="minorHAnsi" w:cstheme="minorHAnsi"/>
          <w:b w:val="0"/>
          <w:i/>
          <w:sz w:val="24"/>
          <w:szCs w:val="24"/>
        </w:rPr>
        <w:t xml:space="preserve">Project applicants serving survivors of domestic violence must use a comparable Homeless Management Information System (HMIS) </w:t>
      </w:r>
      <w:proofErr w:type="gramStart"/>
      <w:r w:rsidRPr="00CE47AE">
        <w:rPr>
          <w:rFonts w:asciiTheme="minorHAnsi" w:hAnsiTheme="minorHAnsi" w:cstheme="minorHAnsi"/>
          <w:b w:val="0"/>
          <w:i/>
          <w:sz w:val="24"/>
          <w:szCs w:val="24"/>
        </w:rPr>
        <w:t>data base</w:t>
      </w:r>
      <w:proofErr w:type="gramEnd"/>
      <w:r w:rsidRPr="00CE47AE">
        <w:rPr>
          <w:rFonts w:asciiTheme="minorHAnsi" w:hAnsiTheme="minorHAnsi" w:cstheme="minorHAnsi"/>
          <w:b w:val="0"/>
          <w:i/>
          <w:sz w:val="24"/>
          <w:szCs w:val="24"/>
        </w:rPr>
        <w:t xml:space="preserve"> which will allow submission of project performance data to the Ranking committee. </w:t>
      </w:r>
      <w:bookmarkStart w:id="0" w:name="_GoBack"/>
      <w:bookmarkEnd w:id="0"/>
    </w:p>
    <w:p w14:paraId="46FCD02F" w14:textId="72F427A5" w:rsidR="00587640" w:rsidRPr="00175800" w:rsidRDefault="00587640" w:rsidP="00587640">
      <w:pPr>
        <w:rPr>
          <w:rFonts w:asciiTheme="minorHAnsi" w:hAnsiTheme="minorHAnsi" w:cstheme="minorHAnsi"/>
          <w:szCs w:val="24"/>
        </w:rPr>
      </w:pPr>
      <w:r w:rsidRPr="00175800">
        <w:rPr>
          <w:rFonts w:asciiTheme="minorHAnsi" w:hAnsiTheme="minorHAnsi" w:cstheme="minorHAnsi"/>
          <w:szCs w:val="24"/>
        </w:rPr>
        <w:t xml:space="preserve">As part of this competitive grant process, project applicants will be reviewed and ranked using the </w:t>
      </w:r>
      <w:hyperlink r:id="rId9" w:history="1">
        <w:r w:rsidR="009B779E" w:rsidRPr="00191443">
          <w:rPr>
            <w:rStyle w:val="Hyperlink"/>
            <w:rFonts w:asciiTheme="minorHAnsi" w:hAnsiTheme="minorHAnsi" w:cstheme="minorHAnsi"/>
            <w:szCs w:val="24"/>
          </w:rPr>
          <w:t>CoC Ranking Tool</w:t>
        </w:r>
      </w:hyperlink>
      <w:r w:rsidR="009B779E" w:rsidRPr="00175800">
        <w:rPr>
          <w:rFonts w:asciiTheme="minorHAnsi" w:hAnsiTheme="minorHAnsi" w:cstheme="minorHAnsi"/>
          <w:szCs w:val="24"/>
        </w:rPr>
        <w:t xml:space="preserve">, which is aligned with the </w:t>
      </w:r>
      <w:hyperlink r:id="rId10" w:history="1">
        <w:r w:rsidR="009B779E" w:rsidRPr="00191443">
          <w:rPr>
            <w:rStyle w:val="Hyperlink"/>
            <w:rFonts w:asciiTheme="minorHAnsi" w:hAnsiTheme="minorHAnsi" w:cstheme="minorHAnsi"/>
            <w:szCs w:val="24"/>
          </w:rPr>
          <w:t>CoC’s written standards</w:t>
        </w:r>
      </w:hyperlink>
      <w:r w:rsidR="009B779E" w:rsidRPr="00175800">
        <w:rPr>
          <w:rFonts w:asciiTheme="minorHAnsi" w:hAnsiTheme="minorHAnsi" w:cstheme="minorHAnsi"/>
          <w:szCs w:val="24"/>
        </w:rPr>
        <w:t xml:space="preserve">, and HUD’s priorities. </w:t>
      </w:r>
    </w:p>
    <w:p w14:paraId="6BCB852C" w14:textId="77777777" w:rsidR="001341E6" w:rsidRPr="00175800" w:rsidRDefault="001341E6" w:rsidP="004C61F3">
      <w:pPr>
        <w:pStyle w:val="Heading1"/>
        <w:rPr>
          <w:rFonts w:asciiTheme="minorHAnsi" w:hAnsiTheme="minorHAnsi" w:cstheme="minorHAnsi"/>
          <w:sz w:val="24"/>
          <w:szCs w:val="24"/>
        </w:rPr>
      </w:pPr>
    </w:p>
    <w:p w14:paraId="79C0CA9D" w14:textId="1DA24C55" w:rsidR="00587640" w:rsidRPr="00175800" w:rsidRDefault="00191443" w:rsidP="004C61F3">
      <w:pPr>
        <w:pStyle w:val="Heading1"/>
        <w:rPr>
          <w:rFonts w:asciiTheme="minorHAnsi" w:hAnsiTheme="minorHAnsi" w:cstheme="minorHAnsi"/>
          <w:sz w:val="28"/>
          <w:szCs w:val="24"/>
        </w:rPr>
      </w:pPr>
      <w:r>
        <w:rPr>
          <w:rFonts w:asciiTheme="minorHAnsi" w:hAnsiTheme="minorHAnsi" w:cstheme="minorHAnsi"/>
          <w:sz w:val="28"/>
          <w:szCs w:val="24"/>
        </w:rPr>
        <w:t>*</w:t>
      </w:r>
      <w:r w:rsidR="009B779E" w:rsidRPr="00175800">
        <w:rPr>
          <w:rFonts w:asciiTheme="minorHAnsi" w:hAnsiTheme="minorHAnsi" w:cstheme="minorHAnsi"/>
          <w:sz w:val="28"/>
          <w:szCs w:val="24"/>
        </w:rPr>
        <w:t>FY2018</w:t>
      </w:r>
      <w:r w:rsidR="00B07E05" w:rsidRPr="00175800">
        <w:rPr>
          <w:rFonts w:asciiTheme="minorHAnsi" w:hAnsiTheme="minorHAnsi" w:cstheme="minorHAnsi"/>
          <w:sz w:val="28"/>
          <w:szCs w:val="24"/>
        </w:rPr>
        <w:t xml:space="preserve"> </w:t>
      </w:r>
      <w:r w:rsidR="00587640" w:rsidRPr="00175800">
        <w:rPr>
          <w:rFonts w:asciiTheme="minorHAnsi" w:hAnsiTheme="minorHAnsi" w:cstheme="minorHAnsi"/>
          <w:sz w:val="28"/>
          <w:szCs w:val="24"/>
        </w:rPr>
        <w:t>HUD Funding Availability for NY-510 CoC</w:t>
      </w:r>
      <w:r w:rsidR="009B779E" w:rsidRPr="00175800">
        <w:rPr>
          <w:rFonts w:asciiTheme="minorHAnsi" w:hAnsiTheme="minorHAnsi" w:cstheme="minorHAnsi"/>
          <w:sz w:val="28"/>
          <w:szCs w:val="24"/>
        </w:rPr>
        <w:t>:</w:t>
      </w:r>
    </w:p>
    <w:p w14:paraId="7429DCF2" w14:textId="424DEEAE" w:rsidR="00587640" w:rsidRPr="00FA3E0A" w:rsidRDefault="00587640" w:rsidP="00587640">
      <w:pPr>
        <w:rPr>
          <w:rFonts w:asciiTheme="minorHAnsi" w:hAnsiTheme="minorHAnsi" w:cstheme="minorHAnsi"/>
          <w:szCs w:val="24"/>
        </w:rPr>
      </w:pPr>
      <w:r w:rsidRPr="00175800">
        <w:rPr>
          <w:rFonts w:asciiTheme="minorHAnsi" w:hAnsiTheme="minorHAnsi" w:cstheme="minorHAnsi"/>
          <w:szCs w:val="24"/>
        </w:rPr>
        <w:t>Total Annual Renewal Demand (ARD)</w:t>
      </w:r>
      <w:r w:rsidR="004C61F3" w:rsidRPr="00175800">
        <w:rPr>
          <w:rFonts w:asciiTheme="minorHAnsi" w:hAnsiTheme="minorHAnsi" w:cstheme="minorHAnsi"/>
          <w:szCs w:val="24"/>
        </w:rPr>
        <w:t>: $</w:t>
      </w:r>
      <w:r w:rsidR="00FA3E0A" w:rsidRPr="00FA3E0A">
        <w:rPr>
          <w:rFonts w:asciiTheme="minorHAnsi" w:hAnsiTheme="minorHAnsi" w:cstheme="minorHAnsi"/>
          <w:szCs w:val="24"/>
        </w:rPr>
        <w:t>209,140</w:t>
      </w:r>
    </w:p>
    <w:p w14:paraId="050E301F" w14:textId="1518F732" w:rsidR="009B779E" w:rsidRPr="00175800" w:rsidRDefault="00587640" w:rsidP="009B779E">
      <w:pPr>
        <w:rPr>
          <w:rFonts w:asciiTheme="minorHAnsi" w:hAnsiTheme="minorHAnsi" w:cstheme="minorHAnsi"/>
          <w:color w:val="FF0000"/>
          <w:szCs w:val="24"/>
        </w:rPr>
      </w:pPr>
      <w:r w:rsidRPr="00175800">
        <w:rPr>
          <w:rFonts w:asciiTheme="minorHAnsi" w:hAnsiTheme="minorHAnsi" w:cstheme="minorHAnsi"/>
          <w:szCs w:val="24"/>
        </w:rPr>
        <w:t>Total Final Pro Rata Need (</w:t>
      </w:r>
      <w:r w:rsidR="0030713D" w:rsidRPr="00175800">
        <w:rPr>
          <w:rFonts w:asciiTheme="minorHAnsi" w:hAnsiTheme="minorHAnsi" w:cstheme="minorHAnsi"/>
          <w:szCs w:val="24"/>
        </w:rPr>
        <w:t>F</w:t>
      </w:r>
      <w:r w:rsidRPr="00175800">
        <w:rPr>
          <w:rFonts w:asciiTheme="minorHAnsi" w:hAnsiTheme="minorHAnsi" w:cstheme="minorHAnsi"/>
          <w:szCs w:val="24"/>
        </w:rPr>
        <w:t>PRN)</w:t>
      </w:r>
      <w:r w:rsidR="004C61F3" w:rsidRPr="00175800">
        <w:rPr>
          <w:rFonts w:asciiTheme="minorHAnsi" w:hAnsiTheme="minorHAnsi" w:cstheme="minorHAnsi"/>
          <w:szCs w:val="24"/>
        </w:rPr>
        <w:t>: $</w:t>
      </w:r>
      <w:r w:rsidR="009B779E" w:rsidRPr="00175800">
        <w:rPr>
          <w:rFonts w:asciiTheme="minorHAnsi" w:hAnsiTheme="minorHAnsi" w:cstheme="minorHAnsi"/>
          <w:color w:val="FF0000"/>
          <w:szCs w:val="24"/>
        </w:rPr>
        <w:t xml:space="preserve"> </w:t>
      </w:r>
      <w:r w:rsidR="00FA3E0A" w:rsidRPr="00FA3E0A">
        <w:rPr>
          <w:rFonts w:asciiTheme="minorHAnsi" w:hAnsiTheme="minorHAnsi" w:cstheme="minorHAnsi"/>
          <w:szCs w:val="24"/>
        </w:rPr>
        <w:t>414,044</w:t>
      </w:r>
    </w:p>
    <w:p w14:paraId="0C58C0A6" w14:textId="431A3BF3" w:rsidR="009B779E" w:rsidRPr="00175800" w:rsidRDefault="009B779E" w:rsidP="00587640">
      <w:pPr>
        <w:rPr>
          <w:rFonts w:asciiTheme="minorHAnsi" w:hAnsiTheme="minorHAnsi" w:cstheme="minorHAnsi"/>
          <w:color w:val="FF0000"/>
          <w:szCs w:val="24"/>
        </w:rPr>
      </w:pPr>
      <w:r w:rsidRPr="00175800">
        <w:rPr>
          <w:rFonts w:asciiTheme="minorHAnsi" w:hAnsiTheme="minorHAnsi" w:cstheme="minorHAnsi"/>
          <w:szCs w:val="24"/>
        </w:rPr>
        <w:t xml:space="preserve"> </w:t>
      </w:r>
      <w:r w:rsidR="00DE5A4F" w:rsidRPr="00175800">
        <w:rPr>
          <w:rFonts w:asciiTheme="minorHAnsi" w:hAnsiTheme="minorHAnsi" w:cstheme="minorHAnsi"/>
          <w:szCs w:val="24"/>
        </w:rPr>
        <w:t>Tier I</w:t>
      </w:r>
      <w:r w:rsidR="00587640" w:rsidRPr="00175800">
        <w:rPr>
          <w:rFonts w:asciiTheme="minorHAnsi" w:hAnsiTheme="minorHAnsi" w:cstheme="minorHAnsi"/>
          <w:szCs w:val="24"/>
        </w:rPr>
        <w:t xml:space="preserve">: </w:t>
      </w:r>
      <w:r w:rsidR="004C61F3" w:rsidRPr="00175800">
        <w:rPr>
          <w:rFonts w:asciiTheme="minorHAnsi" w:hAnsiTheme="minorHAnsi" w:cstheme="minorHAnsi"/>
          <w:szCs w:val="24"/>
        </w:rPr>
        <w:t>$</w:t>
      </w:r>
      <w:r w:rsidRPr="00175800">
        <w:rPr>
          <w:rFonts w:asciiTheme="minorHAnsi" w:hAnsiTheme="minorHAnsi" w:cstheme="minorHAnsi"/>
          <w:color w:val="FF0000"/>
          <w:szCs w:val="24"/>
        </w:rPr>
        <w:t xml:space="preserve"> </w:t>
      </w:r>
      <w:r w:rsidR="00FA3E0A" w:rsidRPr="00FA3E0A">
        <w:rPr>
          <w:rFonts w:asciiTheme="minorHAnsi" w:hAnsiTheme="minorHAnsi" w:cstheme="minorHAnsi"/>
          <w:szCs w:val="24"/>
        </w:rPr>
        <w:t>196,592</w:t>
      </w:r>
    </w:p>
    <w:p w14:paraId="43E35A4D" w14:textId="02B648FB" w:rsidR="00587640" w:rsidRPr="00FA3E0A" w:rsidRDefault="00B07E05" w:rsidP="00587640">
      <w:pPr>
        <w:rPr>
          <w:rFonts w:asciiTheme="minorHAnsi" w:hAnsiTheme="minorHAnsi" w:cstheme="minorHAnsi"/>
          <w:szCs w:val="24"/>
        </w:rPr>
      </w:pPr>
      <w:r w:rsidRPr="00175800">
        <w:rPr>
          <w:rFonts w:asciiTheme="minorHAnsi" w:hAnsiTheme="minorHAnsi" w:cstheme="minorHAnsi"/>
          <w:szCs w:val="24"/>
        </w:rPr>
        <w:lastRenderedPageBreak/>
        <w:t>Tier II (6</w:t>
      </w:r>
      <w:r w:rsidR="00587640" w:rsidRPr="00175800">
        <w:rPr>
          <w:rFonts w:asciiTheme="minorHAnsi" w:hAnsiTheme="minorHAnsi" w:cstheme="minorHAnsi"/>
          <w:szCs w:val="24"/>
        </w:rPr>
        <w:t xml:space="preserve">% of ARD):  </w:t>
      </w:r>
      <w:r w:rsidR="004C61F3" w:rsidRPr="00175800">
        <w:rPr>
          <w:rFonts w:asciiTheme="minorHAnsi" w:hAnsiTheme="minorHAnsi" w:cstheme="minorHAnsi"/>
          <w:szCs w:val="24"/>
        </w:rPr>
        <w:t>$</w:t>
      </w:r>
      <w:r w:rsidR="009B779E" w:rsidRPr="00175800">
        <w:rPr>
          <w:rFonts w:asciiTheme="minorHAnsi" w:hAnsiTheme="minorHAnsi" w:cstheme="minorHAnsi"/>
          <w:color w:val="FF0000"/>
          <w:szCs w:val="24"/>
        </w:rPr>
        <w:t xml:space="preserve"> </w:t>
      </w:r>
      <w:r w:rsidR="00FA3E0A" w:rsidRPr="00FA3E0A">
        <w:rPr>
          <w:rFonts w:asciiTheme="minorHAnsi" w:hAnsiTheme="minorHAnsi" w:cstheme="minorHAnsi"/>
          <w:szCs w:val="24"/>
        </w:rPr>
        <w:t>12,548</w:t>
      </w:r>
    </w:p>
    <w:p w14:paraId="040C0615" w14:textId="43FAE68C" w:rsidR="009B779E" w:rsidRPr="00FA3E0A" w:rsidRDefault="00587640" w:rsidP="009B779E">
      <w:pPr>
        <w:rPr>
          <w:rFonts w:asciiTheme="minorHAnsi" w:hAnsiTheme="minorHAnsi" w:cstheme="minorHAnsi"/>
          <w:szCs w:val="24"/>
        </w:rPr>
      </w:pPr>
      <w:r w:rsidRPr="00175800">
        <w:rPr>
          <w:rFonts w:asciiTheme="minorHAnsi" w:hAnsiTheme="minorHAnsi" w:cstheme="minorHAnsi"/>
          <w:szCs w:val="24"/>
        </w:rPr>
        <w:t>Perma</w:t>
      </w:r>
      <w:r w:rsidR="00B07E05" w:rsidRPr="00175800">
        <w:rPr>
          <w:rFonts w:asciiTheme="minorHAnsi" w:hAnsiTheme="minorHAnsi" w:cstheme="minorHAnsi"/>
          <w:szCs w:val="24"/>
        </w:rPr>
        <w:t>nent Supportive Housing Bonus (6</w:t>
      </w:r>
      <w:r w:rsidRPr="00175800">
        <w:rPr>
          <w:rFonts w:asciiTheme="minorHAnsi" w:hAnsiTheme="minorHAnsi" w:cstheme="minorHAnsi"/>
          <w:szCs w:val="24"/>
        </w:rPr>
        <w:t xml:space="preserve">% PPRN): </w:t>
      </w:r>
      <w:r w:rsidR="004C61F3" w:rsidRPr="00175800">
        <w:rPr>
          <w:rFonts w:asciiTheme="minorHAnsi" w:hAnsiTheme="minorHAnsi" w:cstheme="minorHAnsi"/>
          <w:szCs w:val="24"/>
        </w:rPr>
        <w:t>$</w:t>
      </w:r>
      <w:r w:rsidR="009B779E" w:rsidRPr="00175800">
        <w:rPr>
          <w:rFonts w:asciiTheme="minorHAnsi" w:hAnsiTheme="minorHAnsi" w:cstheme="minorHAnsi"/>
          <w:color w:val="FF0000"/>
          <w:szCs w:val="24"/>
        </w:rPr>
        <w:t xml:space="preserve"> </w:t>
      </w:r>
      <w:r w:rsidR="00FA3E0A" w:rsidRPr="00FA3E0A">
        <w:rPr>
          <w:rFonts w:asciiTheme="minorHAnsi" w:hAnsiTheme="minorHAnsi" w:cstheme="minorHAnsi"/>
          <w:szCs w:val="24"/>
        </w:rPr>
        <w:t>24,843</w:t>
      </w:r>
    </w:p>
    <w:p w14:paraId="5C51F964" w14:textId="7BCB26CE" w:rsidR="00587640" w:rsidRPr="00FA3E0A" w:rsidRDefault="00FA3E0A" w:rsidP="00587640">
      <w:pPr>
        <w:rPr>
          <w:rFonts w:asciiTheme="minorHAnsi" w:hAnsiTheme="minorHAnsi" w:cstheme="minorHAnsi"/>
          <w:szCs w:val="24"/>
        </w:rPr>
      </w:pPr>
      <w:r>
        <w:rPr>
          <w:rFonts w:asciiTheme="minorHAnsi" w:hAnsiTheme="minorHAnsi" w:cstheme="minorHAnsi"/>
          <w:szCs w:val="24"/>
        </w:rPr>
        <w:t>Bonus for projects serving survivors of DV</w:t>
      </w:r>
      <w:r w:rsidR="009B779E" w:rsidRPr="00175800">
        <w:rPr>
          <w:rFonts w:asciiTheme="minorHAnsi" w:hAnsiTheme="minorHAnsi" w:cstheme="minorHAnsi"/>
          <w:szCs w:val="24"/>
        </w:rPr>
        <w:t xml:space="preserve">: </w:t>
      </w:r>
      <w:r>
        <w:rPr>
          <w:rFonts w:asciiTheme="minorHAnsi" w:hAnsiTheme="minorHAnsi" w:cstheme="minorHAnsi"/>
          <w:szCs w:val="24"/>
        </w:rPr>
        <w:t>$</w:t>
      </w:r>
      <w:r w:rsidRPr="00FA3E0A">
        <w:rPr>
          <w:rFonts w:asciiTheme="minorHAnsi" w:hAnsiTheme="minorHAnsi" w:cstheme="minorHAnsi"/>
          <w:szCs w:val="24"/>
        </w:rPr>
        <w:t>50,000</w:t>
      </w:r>
    </w:p>
    <w:p w14:paraId="4FD96025" w14:textId="3FB90AA5" w:rsidR="009B779E" w:rsidRPr="00175800" w:rsidRDefault="00B07E05" w:rsidP="009B779E">
      <w:pPr>
        <w:rPr>
          <w:rFonts w:asciiTheme="minorHAnsi" w:hAnsiTheme="minorHAnsi" w:cstheme="minorHAnsi"/>
          <w:color w:val="FF0000"/>
          <w:sz w:val="28"/>
          <w:szCs w:val="24"/>
        </w:rPr>
      </w:pPr>
      <w:r w:rsidRPr="00175800">
        <w:rPr>
          <w:rFonts w:asciiTheme="minorHAnsi" w:hAnsiTheme="minorHAnsi" w:cstheme="minorHAnsi"/>
          <w:b/>
          <w:sz w:val="28"/>
          <w:szCs w:val="24"/>
        </w:rPr>
        <w:t>Total amount of fundi</w:t>
      </w:r>
      <w:r w:rsidR="00DE5A4F" w:rsidRPr="00175800">
        <w:rPr>
          <w:rFonts w:asciiTheme="minorHAnsi" w:hAnsiTheme="minorHAnsi" w:cstheme="minorHAnsi"/>
          <w:b/>
          <w:sz w:val="28"/>
          <w:szCs w:val="24"/>
        </w:rPr>
        <w:t xml:space="preserve">ng available in Tier I: </w:t>
      </w:r>
      <w:r w:rsidR="009B779E" w:rsidRPr="00175800">
        <w:rPr>
          <w:rFonts w:asciiTheme="minorHAnsi" w:hAnsiTheme="minorHAnsi" w:cstheme="minorHAnsi"/>
          <w:b/>
          <w:sz w:val="28"/>
          <w:szCs w:val="24"/>
        </w:rPr>
        <w:t>$</w:t>
      </w:r>
      <w:r w:rsidR="009B779E" w:rsidRPr="00175800">
        <w:rPr>
          <w:rFonts w:asciiTheme="minorHAnsi" w:hAnsiTheme="minorHAnsi" w:cstheme="minorHAnsi"/>
          <w:color w:val="FF0000"/>
          <w:sz w:val="28"/>
          <w:szCs w:val="24"/>
        </w:rPr>
        <w:t xml:space="preserve"> </w:t>
      </w:r>
      <w:r w:rsidR="00FA3E0A">
        <w:rPr>
          <w:rFonts w:asciiTheme="minorHAnsi" w:hAnsiTheme="minorHAnsi" w:cstheme="minorHAnsi"/>
          <w:sz w:val="28"/>
          <w:szCs w:val="24"/>
        </w:rPr>
        <w:t>196,592*</w:t>
      </w:r>
    </w:p>
    <w:p w14:paraId="614A5E14" w14:textId="0BC21724" w:rsidR="009B779E" w:rsidRPr="00FA3E0A" w:rsidRDefault="00B07E05" w:rsidP="009B779E">
      <w:pPr>
        <w:rPr>
          <w:rFonts w:asciiTheme="minorHAnsi" w:hAnsiTheme="minorHAnsi" w:cstheme="minorHAnsi"/>
          <w:sz w:val="28"/>
          <w:szCs w:val="24"/>
        </w:rPr>
      </w:pPr>
      <w:r w:rsidRPr="00175800">
        <w:rPr>
          <w:rFonts w:asciiTheme="minorHAnsi" w:hAnsiTheme="minorHAnsi" w:cstheme="minorHAnsi"/>
          <w:b/>
          <w:sz w:val="28"/>
          <w:szCs w:val="24"/>
        </w:rPr>
        <w:t>Total amount of funding available in Tier II: $</w:t>
      </w:r>
      <w:r w:rsidR="00FA3E0A">
        <w:rPr>
          <w:rFonts w:asciiTheme="minorHAnsi" w:hAnsiTheme="minorHAnsi" w:cstheme="minorHAnsi"/>
          <w:color w:val="FF0000"/>
          <w:sz w:val="28"/>
          <w:szCs w:val="24"/>
        </w:rPr>
        <w:t xml:space="preserve"> </w:t>
      </w:r>
      <w:r w:rsidR="00FA3E0A" w:rsidRPr="00FA3E0A">
        <w:rPr>
          <w:rFonts w:asciiTheme="minorHAnsi" w:hAnsiTheme="minorHAnsi" w:cstheme="minorHAnsi"/>
          <w:sz w:val="28"/>
          <w:szCs w:val="24"/>
        </w:rPr>
        <w:t>37,391</w:t>
      </w:r>
      <w:r w:rsidR="00FA3E0A">
        <w:rPr>
          <w:rFonts w:asciiTheme="minorHAnsi" w:hAnsiTheme="minorHAnsi" w:cstheme="minorHAnsi"/>
          <w:sz w:val="28"/>
          <w:szCs w:val="24"/>
        </w:rPr>
        <w:t>*</w:t>
      </w:r>
    </w:p>
    <w:p w14:paraId="75277AB1" w14:textId="55470A8D" w:rsidR="00175800" w:rsidRPr="00242807" w:rsidRDefault="00191443" w:rsidP="00587640">
      <w:pPr>
        <w:rPr>
          <w:rFonts w:asciiTheme="minorHAnsi" w:hAnsiTheme="minorHAnsi" w:cstheme="minorHAnsi"/>
          <w:i/>
          <w:color w:val="7F7F7F" w:themeColor="text1" w:themeTint="80"/>
          <w:szCs w:val="24"/>
        </w:rPr>
      </w:pPr>
      <w:r w:rsidRPr="00191443">
        <w:rPr>
          <w:rFonts w:asciiTheme="minorHAnsi" w:hAnsiTheme="minorHAnsi" w:cstheme="minorHAnsi"/>
          <w:i/>
          <w:color w:val="7F7F7F" w:themeColor="text1" w:themeTint="80"/>
          <w:szCs w:val="24"/>
        </w:rPr>
        <w:t>*</w:t>
      </w:r>
      <w:r w:rsidR="00FA3E0A">
        <w:rPr>
          <w:rFonts w:asciiTheme="minorHAnsi" w:hAnsiTheme="minorHAnsi" w:cstheme="minorHAnsi"/>
          <w:i/>
          <w:color w:val="7F7F7F" w:themeColor="text1" w:themeTint="80"/>
          <w:szCs w:val="24"/>
        </w:rPr>
        <w:t xml:space="preserve">Does not include DV bonus. Based on ranking of DV projects, the $50,000 bonus can be ranked in Tier </w:t>
      </w:r>
      <w:proofErr w:type="gramStart"/>
      <w:r w:rsidR="00FA3E0A">
        <w:rPr>
          <w:rFonts w:asciiTheme="minorHAnsi" w:hAnsiTheme="minorHAnsi" w:cstheme="minorHAnsi"/>
          <w:i/>
          <w:color w:val="7F7F7F" w:themeColor="text1" w:themeTint="80"/>
          <w:szCs w:val="24"/>
        </w:rPr>
        <w:t>I</w:t>
      </w:r>
      <w:proofErr w:type="gramEnd"/>
      <w:r w:rsidR="00FA3E0A">
        <w:rPr>
          <w:rFonts w:asciiTheme="minorHAnsi" w:hAnsiTheme="minorHAnsi" w:cstheme="minorHAnsi"/>
          <w:i/>
          <w:color w:val="7F7F7F" w:themeColor="text1" w:themeTint="80"/>
          <w:szCs w:val="24"/>
        </w:rPr>
        <w:t xml:space="preserve"> or Tier II </w:t>
      </w:r>
      <w:r>
        <w:rPr>
          <w:rFonts w:asciiTheme="minorHAnsi" w:hAnsiTheme="minorHAnsi" w:cstheme="minorHAnsi"/>
          <w:i/>
          <w:color w:val="7F7F7F" w:themeColor="text1" w:themeTint="80"/>
          <w:szCs w:val="24"/>
        </w:rPr>
        <w:t xml:space="preserve"> </w:t>
      </w:r>
    </w:p>
    <w:p w14:paraId="069ACAE8" w14:textId="77777777" w:rsidR="00587640" w:rsidRPr="00175800" w:rsidRDefault="00587640" w:rsidP="00587640">
      <w:pPr>
        <w:rPr>
          <w:rFonts w:asciiTheme="minorHAnsi" w:hAnsiTheme="minorHAnsi" w:cstheme="minorHAnsi"/>
          <w:szCs w:val="24"/>
        </w:rPr>
      </w:pPr>
      <w:r w:rsidRPr="00175800">
        <w:rPr>
          <w:rFonts w:asciiTheme="minorHAnsi" w:hAnsiTheme="minorHAnsi" w:cstheme="minorHAnsi"/>
          <w:szCs w:val="24"/>
        </w:rPr>
        <w:t>Projects receiving the hig</w:t>
      </w:r>
      <w:r w:rsidR="00F700C6" w:rsidRPr="00175800">
        <w:rPr>
          <w:rFonts w:asciiTheme="minorHAnsi" w:hAnsiTheme="minorHAnsi" w:cstheme="minorHAnsi"/>
          <w:szCs w:val="24"/>
        </w:rPr>
        <w:t>hest scores during the objective</w:t>
      </w:r>
      <w:r w:rsidRPr="00175800">
        <w:rPr>
          <w:rFonts w:asciiTheme="minorHAnsi" w:hAnsiTheme="minorHAnsi" w:cstheme="minorHAnsi"/>
          <w:szCs w:val="24"/>
        </w:rPr>
        <w:t xml:space="preserve"> review and ranking process </w:t>
      </w:r>
      <w:proofErr w:type="gramStart"/>
      <w:r w:rsidRPr="00175800">
        <w:rPr>
          <w:rFonts w:asciiTheme="minorHAnsi" w:hAnsiTheme="minorHAnsi" w:cstheme="minorHAnsi"/>
          <w:szCs w:val="24"/>
        </w:rPr>
        <w:t>will be placed</w:t>
      </w:r>
      <w:proofErr w:type="gramEnd"/>
      <w:r w:rsidRPr="00175800">
        <w:rPr>
          <w:rFonts w:asciiTheme="minorHAnsi" w:hAnsiTheme="minorHAnsi" w:cstheme="minorHAnsi"/>
          <w:szCs w:val="24"/>
        </w:rPr>
        <w:t xml:space="preserve"> in Tier I. Lower perfor</w:t>
      </w:r>
      <w:r w:rsidR="0098705A" w:rsidRPr="00175800">
        <w:rPr>
          <w:rFonts w:asciiTheme="minorHAnsi" w:hAnsiTheme="minorHAnsi" w:cstheme="minorHAnsi"/>
          <w:szCs w:val="24"/>
        </w:rPr>
        <w:t xml:space="preserve">ming projects will be </w:t>
      </w:r>
      <w:r w:rsidR="00B07E05" w:rsidRPr="00175800">
        <w:rPr>
          <w:rFonts w:asciiTheme="minorHAnsi" w:hAnsiTheme="minorHAnsi" w:cstheme="minorHAnsi"/>
          <w:szCs w:val="24"/>
        </w:rPr>
        <w:t>placed lower</w:t>
      </w:r>
      <w:r w:rsidR="0098705A" w:rsidRPr="00175800">
        <w:rPr>
          <w:rFonts w:asciiTheme="minorHAnsi" w:hAnsiTheme="minorHAnsi" w:cstheme="minorHAnsi"/>
          <w:szCs w:val="24"/>
        </w:rPr>
        <w:t xml:space="preserve"> in Tier I or in </w:t>
      </w:r>
      <w:r w:rsidRPr="00175800">
        <w:rPr>
          <w:rFonts w:asciiTheme="minorHAnsi" w:hAnsiTheme="minorHAnsi" w:cstheme="minorHAnsi"/>
          <w:szCs w:val="24"/>
        </w:rPr>
        <w:t xml:space="preserve">Tier II. </w:t>
      </w:r>
      <w:r w:rsidR="009B779E" w:rsidRPr="00175800">
        <w:rPr>
          <w:rFonts w:asciiTheme="minorHAnsi" w:hAnsiTheme="minorHAnsi" w:cstheme="minorHAnsi"/>
          <w:szCs w:val="24"/>
        </w:rPr>
        <w:t>New and renewal</w:t>
      </w:r>
      <w:r w:rsidR="000D3E0C">
        <w:rPr>
          <w:rFonts w:asciiTheme="minorHAnsi" w:hAnsiTheme="minorHAnsi" w:cstheme="minorHAnsi"/>
          <w:szCs w:val="24"/>
        </w:rPr>
        <w:t xml:space="preserve"> projects</w:t>
      </w:r>
      <w:r w:rsidR="009B779E" w:rsidRPr="00175800">
        <w:rPr>
          <w:rFonts w:asciiTheme="minorHAnsi" w:hAnsiTheme="minorHAnsi" w:cstheme="minorHAnsi"/>
          <w:szCs w:val="24"/>
        </w:rPr>
        <w:t xml:space="preserve"> will compete for rankings in Tier </w:t>
      </w:r>
      <w:proofErr w:type="gramStart"/>
      <w:r w:rsidR="009B779E" w:rsidRPr="00175800">
        <w:rPr>
          <w:rFonts w:asciiTheme="minorHAnsi" w:hAnsiTheme="minorHAnsi" w:cstheme="minorHAnsi"/>
          <w:szCs w:val="24"/>
        </w:rPr>
        <w:t>I or Tier II</w:t>
      </w:r>
      <w:proofErr w:type="gramEnd"/>
      <w:r w:rsidR="009B779E" w:rsidRPr="00175800">
        <w:rPr>
          <w:rFonts w:asciiTheme="minorHAnsi" w:hAnsiTheme="minorHAnsi" w:cstheme="minorHAnsi"/>
          <w:szCs w:val="24"/>
        </w:rPr>
        <w:t xml:space="preserve">. Lower performing projects </w:t>
      </w:r>
      <w:proofErr w:type="gramStart"/>
      <w:r w:rsidR="009B779E" w:rsidRPr="00175800">
        <w:rPr>
          <w:rFonts w:asciiTheme="minorHAnsi" w:hAnsiTheme="minorHAnsi" w:cstheme="minorHAnsi"/>
          <w:szCs w:val="24"/>
        </w:rPr>
        <w:t>may be reallocated</w:t>
      </w:r>
      <w:proofErr w:type="gramEnd"/>
      <w:r w:rsidR="009B779E" w:rsidRPr="00175800">
        <w:rPr>
          <w:rFonts w:asciiTheme="minorHAnsi" w:hAnsiTheme="minorHAnsi" w:cstheme="minorHAnsi"/>
          <w:szCs w:val="24"/>
        </w:rPr>
        <w:t xml:space="preserve"> to support higher performing new or renewal projects. </w:t>
      </w:r>
    </w:p>
    <w:p w14:paraId="7B66E60B" w14:textId="77777777" w:rsidR="00587640" w:rsidRPr="00175800" w:rsidRDefault="00587640" w:rsidP="00587640">
      <w:pPr>
        <w:rPr>
          <w:rFonts w:asciiTheme="minorHAnsi" w:hAnsiTheme="minorHAnsi" w:cstheme="minorHAnsi"/>
          <w:szCs w:val="24"/>
        </w:rPr>
      </w:pPr>
      <w:r w:rsidRPr="00175800">
        <w:rPr>
          <w:rFonts w:asciiTheme="minorHAnsi" w:hAnsiTheme="minorHAnsi" w:cstheme="minorHAnsi"/>
          <w:szCs w:val="24"/>
        </w:rPr>
        <w:t>New projects will be able to apply under the Perm</w:t>
      </w:r>
      <w:r w:rsidR="00F700C6" w:rsidRPr="00175800">
        <w:rPr>
          <w:rFonts w:asciiTheme="minorHAnsi" w:hAnsiTheme="minorHAnsi" w:cstheme="minorHAnsi"/>
          <w:szCs w:val="24"/>
        </w:rPr>
        <w:t>anent Supportive Housing Bonus</w:t>
      </w:r>
      <w:r w:rsidR="009B779E" w:rsidRPr="00175800">
        <w:rPr>
          <w:rFonts w:asciiTheme="minorHAnsi" w:hAnsiTheme="minorHAnsi" w:cstheme="minorHAnsi"/>
          <w:szCs w:val="24"/>
        </w:rPr>
        <w:t>, the DV PH-RRH set aside,</w:t>
      </w:r>
      <w:r w:rsidR="00F700C6" w:rsidRPr="00175800">
        <w:rPr>
          <w:rFonts w:asciiTheme="minorHAnsi" w:hAnsiTheme="minorHAnsi" w:cstheme="minorHAnsi"/>
          <w:szCs w:val="24"/>
        </w:rPr>
        <w:t xml:space="preserve"> or through the process for rea</w:t>
      </w:r>
      <w:r w:rsidR="000D3E0C">
        <w:rPr>
          <w:rFonts w:asciiTheme="minorHAnsi" w:hAnsiTheme="minorHAnsi" w:cstheme="minorHAnsi"/>
          <w:szCs w:val="24"/>
        </w:rPr>
        <w:t xml:space="preserve">llocation. </w:t>
      </w:r>
    </w:p>
    <w:p w14:paraId="359423F1" w14:textId="77777777" w:rsidR="000D3E0C" w:rsidRDefault="00830DD2" w:rsidP="00BA3B56">
      <w:pPr>
        <w:rPr>
          <w:rFonts w:asciiTheme="minorHAnsi" w:hAnsiTheme="minorHAnsi" w:cstheme="minorHAnsi"/>
          <w:szCs w:val="24"/>
        </w:rPr>
      </w:pPr>
      <w:r w:rsidRPr="00CE47AE">
        <w:rPr>
          <w:rFonts w:asciiTheme="minorHAnsi" w:hAnsiTheme="minorHAnsi" w:cstheme="minorHAnsi"/>
          <w:b/>
          <w:szCs w:val="24"/>
        </w:rPr>
        <w:t>Renewal Project</w:t>
      </w:r>
      <w:r w:rsidR="00BA3B56" w:rsidRPr="00CE47AE">
        <w:rPr>
          <w:rFonts w:asciiTheme="minorHAnsi" w:hAnsiTheme="minorHAnsi" w:cstheme="minorHAnsi"/>
          <w:b/>
          <w:szCs w:val="24"/>
        </w:rPr>
        <w:t>s</w:t>
      </w:r>
      <w:r w:rsidR="00BA3B56" w:rsidRPr="00175800">
        <w:rPr>
          <w:rFonts w:asciiTheme="minorHAnsi" w:hAnsiTheme="minorHAnsi" w:cstheme="minorHAnsi"/>
          <w:szCs w:val="24"/>
        </w:rPr>
        <w:t xml:space="preserve"> </w:t>
      </w:r>
      <w:proofErr w:type="gramStart"/>
      <w:r w:rsidR="00BA3B56" w:rsidRPr="00175800">
        <w:rPr>
          <w:rFonts w:asciiTheme="minorHAnsi" w:hAnsiTheme="minorHAnsi" w:cstheme="minorHAnsi"/>
          <w:szCs w:val="24"/>
        </w:rPr>
        <w:t>will be scored</w:t>
      </w:r>
      <w:proofErr w:type="gramEnd"/>
      <w:r w:rsidR="00BA3B56" w:rsidRPr="00175800">
        <w:rPr>
          <w:rFonts w:asciiTheme="minorHAnsi" w:hAnsiTheme="minorHAnsi" w:cstheme="minorHAnsi"/>
          <w:szCs w:val="24"/>
        </w:rPr>
        <w:t xml:space="preserve"> based on last year’s APR and FY18 applications submitted in Esnaps. </w:t>
      </w:r>
      <w:r w:rsidRPr="00175800">
        <w:rPr>
          <w:rFonts w:asciiTheme="minorHAnsi" w:hAnsiTheme="minorHAnsi" w:cstheme="minorHAnsi"/>
          <w:szCs w:val="24"/>
        </w:rPr>
        <w:t xml:space="preserve"> </w:t>
      </w:r>
      <w:r w:rsidR="00BA3B56" w:rsidRPr="00175800">
        <w:rPr>
          <w:rFonts w:asciiTheme="minorHAnsi" w:hAnsiTheme="minorHAnsi" w:cstheme="minorHAnsi"/>
          <w:szCs w:val="24"/>
        </w:rPr>
        <w:t>The CoC will consider project impact on overall CoC system performance, including the following general categories</w:t>
      </w:r>
      <w:r w:rsidR="000D3E0C">
        <w:rPr>
          <w:rFonts w:asciiTheme="minorHAnsi" w:hAnsiTheme="minorHAnsi" w:cstheme="minorHAnsi"/>
          <w:szCs w:val="24"/>
        </w:rPr>
        <w:t>:</w:t>
      </w:r>
    </w:p>
    <w:p w14:paraId="0F33966B" w14:textId="6D035915" w:rsidR="00BA3B56" w:rsidRDefault="00BA3B56" w:rsidP="000D3E0C">
      <w:pPr>
        <w:pStyle w:val="ListParagraph"/>
        <w:numPr>
          <w:ilvl w:val="0"/>
          <w:numId w:val="2"/>
        </w:numPr>
        <w:rPr>
          <w:rFonts w:asciiTheme="minorHAnsi" w:hAnsiTheme="minorHAnsi" w:cstheme="minorHAnsi"/>
          <w:szCs w:val="24"/>
        </w:rPr>
      </w:pPr>
      <w:r w:rsidRPr="00175800">
        <w:rPr>
          <w:rFonts w:asciiTheme="minorHAnsi" w:hAnsiTheme="minorHAnsi" w:cstheme="minorHAnsi"/>
          <w:szCs w:val="24"/>
        </w:rPr>
        <w:t xml:space="preserve">Stability of housing </w:t>
      </w:r>
    </w:p>
    <w:p w14:paraId="347D7CA1" w14:textId="7527CBAD" w:rsidR="00CE47AE" w:rsidRPr="00175800" w:rsidRDefault="00CE47AE" w:rsidP="00CE47AE">
      <w:pPr>
        <w:pStyle w:val="ListParagraph"/>
        <w:numPr>
          <w:ilvl w:val="1"/>
          <w:numId w:val="2"/>
        </w:numPr>
        <w:rPr>
          <w:rFonts w:asciiTheme="minorHAnsi" w:hAnsiTheme="minorHAnsi" w:cstheme="minorHAnsi"/>
          <w:szCs w:val="24"/>
        </w:rPr>
      </w:pPr>
      <w:r>
        <w:rPr>
          <w:rFonts w:asciiTheme="minorHAnsi" w:hAnsiTheme="minorHAnsi" w:cstheme="minorHAnsi"/>
          <w:szCs w:val="24"/>
        </w:rPr>
        <w:t xml:space="preserve">% of participants who retained or exited to permanent housing </w:t>
      </w:r>
    </w:p>
    <w:p w14:paraId="491E2D62" w14:textId="6E798C41" w:rsidR="00830DD2" w:rsidRDefault="00BA3B56" w:rsidP="00830DD2">
      <w:pPr>
        <w:pStyle w:val="ListParagraph"/>
        <w:numPr>
          <w:ilvl w:val="0"/>
          <w:numId w:val="2"/>
        </w:numPr>
        <w:rPr>
          <w:rFonts w:asciiTheme="minorHAnsi" w:hAnsiTheme="minorHAnsi" w:cstheme="minorHAnsi"/>
          <w:szCs w:val="24"/>
        </w:rPr>
      </w:pPr>
      <w:r w:rsidRPr="00175800">
        <w:rPr>
          <w:rFonts w:asciiTheme="minorHAnsi" w:hAnsiTheme="minorHAnsi" w:cstheme="minorHAnsi"/>
          <w:szCs w:val="24"/>
        </w:rPr>
        <w:t xml:space="preserve">Impact on participant’s income </w:t>
      </w:r>
    </w:p>
    <w:p w14:paraId="48067D7E" w14:textId="0CED0A4A" w:rsidR="00CE47AE" w:rsidRPr="00175800" w:rsidRDefault="00CE47AE" w:rsidP="00CE47AE">
      <w:pPr>
        <w:pStyle w:val="ListParagraph"/>
        <w:numPr>
          <w:ilvl w:val="1"/>
          <w:numId w:val="2"/>
        </w:numPr>
        <w:rPr>
          <w:rFonts w:asciiTheme="minorHAnsi" w:hAnsiTheme="minorHAnsi" w:cstheme="minorHAnsi"/>
          <w:szCs w:val="24"/>
        </w:rPr>
      </w:pPr>
      <w:r>
        <w:rPr>
          <w:rFonts w:asciiTheme="minorHAnsi" w:hAnsiTheme="minorHAnsi" w:cstheme="minorHAnsi"/>
          <w:szCs w:val="24"/>
        </w:rPr>
        <w:t>% of participants who increased earned or unearned income</w:t>
      </w:r>
    </w:p>
    <w:p w14:paraId="25BFF061" w14:textId="0C9A7C4F" w:rsidR="00BA3B56" w:rsidRDefault="00BA3B56" w:rsidP="00B72D17">
      <w:pPr>
        <w:pStyle w:val="ListParagraph"/>
        <w:numPr>
          <w:ilvl w:val="0"/>
          <w:numId w:val="2"/>
        </w:numPr>
        <w:rPr>
          <w:rFonts w:asciiTheme="minorHAnsi" w:hAnsiTheme="minorHAnsi" w:cstheme="minorHAnsi"/>
          <w:szCs w:val="24"/>
        </w:rPr>
      </w:pPr>
      <w:r w:rsidRPr="00175800">
        <w:rPr>
          <w:rFonts w:asciiTheme="minorHAnsi" w:hAnsiTheme="minorHAnsi" w:cstheme="minorHAnsi"/>
          <w:szCs w:val="24"/>
        </w:rPr>
        <w:t xml:space="preserve">Serving high-needs populations </w:t>
      </w:r>
    </w:p>
    <w:p w14:paraId="1D9FA7DC" w14:textId="1B036FB8" w:rsidR="00CE47AE" w:rsidRPr="00175800" w:rsidRDefault="00CE47AE" w:rsidP="00CE47AE">
      <w:pPr>
        <w:pStyle w:val="ListParagraph"/>
        <w:numPr>
          <w:ilvl w:val="1"/>
          <w:numId w:val="2"/>
        </w:numPr>
        <w:rPr>
          <w:rFonts w:asciiTheme="minorHAnsi" w:hAnsiTheme="minorHAnsi" w:cstheme="minorHAnsi"/>
          <w:szCs w:val="24"/>
        </w:rPr>
      </w:pPr>
      <w:r>
        <w:rPr>
          <w:rFonts w:asciiTheme="minorHAnsi" w:hAnsiTheme="minorHAnsi" w:cstheme="minorHAnsi"/>
          <w:szCs w:val="24"/>
        </w:rPr>
        <w:t xml:space="preserve">% of participants entering directly from shelter or streets </w:t>
      </w:r>
    </w:p>
    <w:p w14:paraId="4F7582AB" w14:textId="2506038F" w:rsidR="00830DD2" w:rsidRDefault="00BA3B56" w:rsidP="00830DD2">
      <w:pPr>
        <w:pStyle w:val="ListParagraph"/>
        <w:numPr>
          <w:ilvl w:val="0"/>
          <w:numId w:val="2"/>
        </w:numPr>
        <w:rPr>
          <w:rFonts w:asciiTheme="minorHAnsi" w:hAnsiTheme="minorHAnsi" w:cstheme="minorHAnsi"/>
          <w:szCs w:val="24"/>
        </w:rPr>
      </w:pPr>
      <w:r w:rsidRPr="00175800">
        <w:rPr>
          <w:rFonts w:asciiTheme="minorHAnsi" w:hAnsiTheme="minorHAnsi" w:cstheme="minorHAnsi"/>
          <w:szCs w:val="24"/>
        </w:rPr>
        <w:t xml:space="preserve">Project effectiveness </w:t>
      </w:r>
    </w:p>
    <w:p w14:paraId="644A7725" w14:textId="7351FC35" w:rsidR="00CE47AE" w:rsidRPr="00CE47AE" w:rsidRDefault="00CE47AE" w:rsidP="00CE47AE">
      <w:pPr>
        <w:pStyle w:val="ListParagraph"/>
        <w:numPr>
          <w:ilvl w:val="1"/>
          <w:numId w:val="2"/>
        </w:numPr>
        <w:rPr>
          <w:rFonts w:asciiTheme="minorHAnsi" w:hAnsiTheme="minorHAnsi" w:cstheme="minorHAnsi"/>
          <w:szCs w:val="24"/>
        </w:rPr>
      </w:pPr>
      <w:r>
        <w:rPr>
          <w:rFonts w:asciiTheme="minorHAnsi" w:hAnsiTheme="minorHAnsi" w:cstheme="minorHAnsi"/>
          <w:szCs w:val="24"/>
        </w:rPr>
        <w:t xml:space="preserve">Project is cost effective and aligns with goals and system performance </w:t>
      </w:r>
    </w:p>
    <w:p w14:paraId="6A22B442" w14:textId="11AEBBCC" w:rsidR="00830DD2" w:rsidRPr="00175800" w:rsidRDefault="00830DD2" w:rsidP="00BA3B56">
      <w:pPr>
        <w:rPr>
          <w:rFonts w:asciiTheme="minorHAnsi" w:hAnsiTheme="minorHAnsi" w:cstheme="minorHAnsi"/>
          <w:szCs w:val="24"/>
        </w:rPr>
      </w:pPr>
      <w:r w:rsidRPr="00CE47AE">
        <w:rPr>
          <w:rFonts w:asciiTheme="minorHAnsi" w:hAnsiTheme="minorHAnsi" w:cstheme="minorHAnsi"/>
          <w:b/>
          <w:szCs w:val="24"/>
        </w:rPr>
        <w:t>New Project</w:t>
      </w:r>
      <w:r w:rsidR="00CE47AE" w:rsidRPr="00CE47AE">
        <w:rPr>
          <w:rFonts w:asciiTheme="minorHAnsi" w:hAnsiTheme="minorHAnsi" w:cstheme="minorHAnsi"/>
          <w:b/>
          <w:szCs w:val="24"/>
        </w:rPr>
        <w:t>s</w:t>
      </w:r>
      <w:r w:rsidRPr="00175800">
        <w:rPr>
          <w:rFonts w:asciiTheme="minorHAnsi" w:hAnsiTheme="minorHAnsi" w:cstheme="minorHAnsi"/>
          <w:szCs w:val="24"/>
        </w:rPr>
        <w:t xml:space="preserve"> </w:t>
      </w:r>
      <w:r w:rsidR="00BA3B56" w:rsidRPr="00175800">
        <w:rPr>
          <w:rFonts w:asciiTheme="minorHAnsi" w:hAnsiTheme="minorHAnsi" w:cstheme="minorHAnsi"/>
          <w:szCs w:val="24"/>
        </w:rPr>
        <w:t xml:space="preserve">will not have APRs to consider, but </w:t>
      </w:r>
      <w:proofErr w:type="gramStart"/>
      <w:r w:rsidR="00BA3B56" w:rsidRPr="00175800">
        <w:rPr>
          <w:rFonts w:asciiTheme="minorHAnsi" w:hAnsiTheme="minorHAnsi" w:cstheme="minorHAnsi"/>
          <w:szCs w:val="24"/>
        </w:rPr>
        <w:t>will be ranked</w:t>
      </w:r>
      <w:proofErr w:type="gramEnd"/>
      <w:r w:rsidR="00BA3B56" w:rsidRPr="00175800">
        <w:rPr>
          <w:rFonts w:asciiTheme="minorHAnsi" w:hAnsiTheme="minorHAnsi" w:cstheme="minorHAnsi"/>
          <w:szCs w:val="24"/>
        </w:rPr>
        <w:t xml:space="preserve"> based on the project impact on overall CoC system performance </w:t>
      </w:r>
      <w:r w:rsidR="00175800" w:rsidRPr="00175800">
        <w:rPr>
          <w:rFonts w:asciiTheme="minorHAnsi" w:hAnsiTheme="minorHAnsi" w:cstheme="minorHAnsi"/>
          <w:szCs w:val="24"/>
        </w:rPr>
        <w:t>and the following general criteria</w:t>
      </w:r>
      <w:r w:rsidR="000D3E0C">
        <w:rPr>
          <w:rFonts w:asciiTheme="minorHAnsi" w:hAnsiTheme="minorHAnsi" w:cstheme="minorHAnsi"/>
          <w:szCs w:val="24"/>
        </w:rPr>
        <w:t>:</w:t>
      </w:r>
    </w:p>
    <w:p w14:paraId="506A3585" w14:textId="77777777" w:rsidR="00830DD2" w:rsidRPr="00175800" w:rsidRDefault="00175800" w:rsidP="00830DD2">
      <w:pPr>
        <w:pStyle w:val="ListParagraph"/>
        <w:numPr>
          <w:ilvl w:val="0"/>
          <w:numId w:val="3"/>
        </w:numPr>
        <w:rPr>
          <w:rFonts w:asciiTheme="minorHAnsi" w:hAnsiTheme="minorHAnsi" w:cstheme="minorHAnsi"/>
          <w:szCs w:val="24"/>
        </w:rPr>
      </w:pPr>
      <w:r w:rsidRPr="00175800">
        <w:rPr>
          <w:rFonts w:asciiTheme="minorHAnsi" w:hAnsiTheme="minorHAnsi" w:cstheme="minorHAnsi"/>
          <w:szCs w:val="24"/>
        </w:rPr>
        <w:t xml:space="preserve">Agency experience </w:t>
      </w:r>
    </w:p>
    <w:p w14:paraId="15941E96" w14:textId="77777777" w:rsidR="00175800" w:rsidRPr="00175800" w:rsidRDefault="00175800" w:rsidP="00175800">
      <w:pPr>
        <w:pStyle w:val="ListParagraph"/>
        <w:numPr>
          <w:ilvl w:val="0"/>
          <w:numId w:val="3"/>
        </w:numPr>
        <w:rPr>
          <w:rFonts w:asciiTheme="minorHAnsi" w:hAnsiTheme="minorHAnsi" w:cstheme="minorHAnsi"/>
          <w:szCs w:val="24"/>
        </w:rPr>
      </w:pPr>
      <w:r w:rsidRPr="00175800">
        <w:rPr>
          <w:rFonts w:asciiTheme="minorHAnsi" w:hAnsiTheme="minorHAnsi" w:cstheme="minorHAnsi"/>
          <w:szCs w:val="24"/>
        </w:rPr>
        <w:t xml:space="preserve">Design of housing and support services </w:t>
      </w:r>
    </w:p>
    <w:p w14:paraId="6E663037" w14:textId="77777777" w:rsidR="006407B4" w:rsidRPr="00175800" w:rsidRDefault="00175800" w:rsidP="00175800">
      <w:pPr>
        <w:pStyle w:val="ListParagraph"/>
        <w:numPr>
          <w:ilvl w:val="0"/>
          <w:numId w:val="3"/>
        </w:numPr>
        <w:rPr>
          <w:rFonts w:asciiTheme="minorHAnsi" w:hAnsiTheme="minorHAnsi" w:cstheme="minorHAnsi"/>
          <w:szCs w:val="24"/>
        </w:rPr>
      </w:pPr>
      <w:r w:rsidRPr="00175800">
        <w:rPr>
          <w:rFonts w:asciiTheme="minorHAnsi" w:hAnsiTheme="minorHAnsi" w:cstheme="minorHAnsi"/>
          <w:szCs w:val="24"/>
        </w:rPr>
        <w:t xml:space="preserve">Timeliness </w:t>
      </w:r>
      <w:r w:rsidR="006407B4" w:rsidRPr="00175800">
        <w:rPr>
          <w:rFonts w:asciiTheme="minorHAnsi" w:hAnsiTheme="minorHAnsi" w:cstheme="minorHAnsi"/>
          <w:szCs w:val="24"/>
        </w:rPr>
        <w:t xml:space="preserve"> </w:t>
      </w:r>
    </w:p>
    <w:p w14:paraId="61549202" w14:textId="77777777" w:rsidR="00B07E05" w:rsidRPr="00175800" w:rsidRDefault="00175800" w:rsidP="00830DD2">
      <w:pPr>
        <w:pStyle w:val="ListParagraph"/>
        <w:numPr>
          <w:ilvl w:val="0"/>
          <w:numId w:val="3"/>
        </w:numPr>
        <w:rPr>
          <w:rFonts w:asciiTheme="minorHAnsi" w:hAnsiTheme="minorHAnsi" w:cstheme="minorHAnsi"/>
          <w:szCs w:val="24"/>
        </w:rPr>
      </w:pPr>
      <w:r w:rsidRPr="00175800">
        <w:rPr>
          <w:rFonts w:asciiTheme="minorHAnsi" w:hAnsiTheme="minorHAnsi" w:cstheme="minorHAnsi"/>
          <w:szCs w:val="24"/>
        </w:rPr>
        <w:t>Financial experience</w:t>
      </w:r>
    </w:p>
    <w:p w14:paraId="04724374" w14:textId="4EEF0D7C" w:rsidR="00830DD2" w:rsidRPr="00175800" w:rsidRDefault="000D3E0C" w:rsidP="00830DD2">
      <w:pPr>
        <w:rPr>
          <w:rFonts w:asciiTheme="minorHAnsi" w:hAnsiTheme="minorHAnsi" w:cstheme="minorHAnsi"/>
          <w:b/>
          <w:i/>
          <w:szCs w:val="24"/>
        </w:rPr>
      </w:pPr>
      <w:r>
        <w:rPr>
          <w:rFonts w:asciiTheme="minorHAnsi" w:hAnsiTheme="minorHAnsi" w:cstheme="minorHAnsi"/>
          <w:b/>
          <w:i/>
          <w:szCs w:val="24"/>
        </w:rPr>
        <w:lastRenderedPageBreak/>
        <w:t>All projects must meet</w:t>
      </w:r>
      <w:r w:rsidR="00BA3B56" w:rsidRPr="00175800">
        <w:rPr>
          <w:rFonts w:asciiTheme="minorHAnsi" w:hAnsiTheme="minorHAnsi" w:cstheme="minorHAnsi"/>
          <w:b/>
          <w:i/>
          <w:szCs w:val="24"/>
        </w:rPr>
        <w:t xml:space="preserve"> the CoC and HUD th</w:t>
      </w:r>
      <w:r>
        <w:rPr>
          <w:rFonts w:asciiTheme="minorHAnsi" w:hAnsiTheme="minorHAnsi" w:cstheme="minorHAnsi"/>
          <w:b/>
          <w:i/>
          <w:szCs w:val="24"/>
        </w:rPr>
        <w:t>reshold requirements as outlined</w:t>
      </w:r>
      <w:r w:rsidR="00BA3B56" w:rsidRPr="00175800">
        <w:rPr>
          <w:rFonts w:asciiTheme="minorHAnsi" w:hAnsiTheme="minorHAnsi" w:cstheme="minorHAnsi"/>
          <w:b/>
          <w:i/>
          <w:szCs w:val="24"/>
        </w:rPr>
        <w:t xml:space="preserve"> in the Ranking Tool and COC Request for Proposals. </w:t>
      </w:r>
      <w:r>
        <w:rPr>
          <w:rFonts w:asciiTheme="minorHAnsi" w:hAnsiTheme="minorHAnsi" w:cstheme="minorHAnsi"/>
          <w:b/>
          <w:i/>
          <w:szCs w:val="24"/>
        </w:rPr>
        <w:t xml:space="preserve">Applicants should thoroughly read the </w:t>
      </w:r>
      <w:hyperlink r:id="rId11" w:history="1">
        <w:r w:rsidR="00191443" w:rsidRPr="00191443">
          <w:rPr>
            <w:rStyle w:val="Hyperlink"/>
            <w:rFonts w:asciiTheme="minorHAnsi" w:hAnsiTheme="minorHAnsi" w:cstheme="minorHAnsi"/>
            <w:b/>
            <w:i/>
            <w:szCs w:val="24"/>
          </w:rPr>
          <w:t>Notice of Funding Availability</w:t>
        </w:r>
      </w:hyperlink>
      <w:r>
        <w:rPr>
          <w:rFonts w:asciiTheme="minorHAnsi" w:hAnsiTheme="minorHAnsi" w:cstheme="minorHAnsi"/>
          <w:b/>
          <w:i/>
          <w:szCs w:val="24"/>
        </w:rPr>
        <w:t xml:space="preserve">, COC RFP, and </w:t>
      </w:r>
      <w:hyperlink r:id="rId12" w:history="1">
        <w:r w:rsidRPr="00191443">
          <w:rPr>
            <w:rStyle w:val="Hyperlink"/>
            <w:rFonts w:asciiTheme="minorHAnsi" w:hAnsiTheme="minorHAnsi" w:cstheme="minorHAnsi"/>
            <w:b/>
            <w:i/>
            <w:szCs w:val="24"/>
          </w:rPr>
          <w:t>CoC Ranking Tool</w:t>
        </w:r>
      </w:hyperlink>
      <w:r>
        <w:rPr>
          <w:rFonts w:asciiTheme="minorHAnsi" w:hAnsiTheme="minorHAnsi" w:cstheme="minorHAnsi"/>
          <w:b/>
          <w:i/>
          <w:szCs w:val="24"/>
        </w:rPr>
        <w:t xml:space="preserve">. </w:t>
      </w:r>
    </w:p>
    <w:p w14:paraId="3FD6F82B" w14:textId="26C5FA7E" w:rsidR="004B3DEB" w:rsidRDefault="004B3DEB" w:rsidP="00830DD2">
      <w:pPr>
        <w:rPr>
          <w:rFonts w:asciiTheme="minorHAnsi" w:hAnsiTheme="minorHAnsi" w:cstheme="minorHAnsi"/>
          <w:b/>
          <w:i/>
          <w:szCs w:val="24"/>
        </w:rPr>
      </w:pPr>
    </w:p>
    <w:p w14:paraId="14278BAB" w14:textId="77777777" w:rsidR="00191443" w:rsidRPr="00175800" w:rsidRDefault="00191443" w:rsidP="00830DD2">
      <w:pPr>
        <w:rPr>
          <w:rFonts w:asciiTheme="minorHAnsi" w:hAnsiTheme="minorHAnsi" w:cstheme="minorHAnsi"/>
          <w:szCs w:val="24"/>
        </w:rPr>
      </w:pPr>
    </w:p>
    <w:p w14:paraId="2C0C4D11" w14:textId="62518F41" w:rsidR="004B3DEB" w:rsidRPr="00175800" w:rsidRDefault="004B3DEB" w:rsidP="00242807">
      <w:pPr>
        <w:pStyle w:val="Heading2"/>
        <w:jc w:val="left"/>
        <w:rPr>
          <w:rFonts w:asciiTheme="minorHAnsi" w:hAnsiTheme="minorHAnsi" w:cstheme="minorHAnsi"/>
          <w:sz w:val="32"/>
          <w:szCs w:val="24"/>
        </w:rPr>
      </w:pPr>
      <w:r w:rsidRPr="00175800">
        <w:rPr>
          <w:rFonts w:asciiTheme="minorHAnsi" w:hAnsiTheme="minorHAnsi" w:cstheme="minorHAnsi"/>
          <w:sz w:val="32"/>
          <w:szCs w:val="24"/>
        </w:rPr>
        <w:t>Reallocation</w:t>
      </w:r>
    </w:p>
    <w:p w14:paraId="5231BD54" w14:textId="633B6C4D" w:rsidR="004B3DEB" w:rsidRPr="00242807" w:rsidRDefault="004B3DEB" w:rsidP="00242807">
      <w:pPr>
        <w:pStyle w:val="BodyText3"/>
        <w:rPr>
          <w:rFonts w:asciiTheme="minorHAnsi" w:hAnsiTheme="minorHAnsi" w:cstheme="minorHAnsi"/>
          <w:sz w:val="24"/>
          <w:szCs w:val="24"/>
        </w:rPr>
      </w:pPr>
      <w:r w:rsidRPr="00175800">
        <w:rPr>
          <w:rFonts w:asciiTheme="minorHAnsi" w:hAnsiTheme="minorHAnsi" w:cstheme="minorHAnsi"/>
          <w:sz w:val="24"/>
          <w:szCs w:val="24"/>
        </w:rPr>
        <w:t xml:space="preserve">New and renewal projects will compete for Tier I rankings. Renewal projects that are not performing up to the CoC standards can be reduced </w:t>
      </w:r>
      <w:proofErr w:type="gramStart"/>
      <w:r w:rsidRPr="00175800">
        <w:rPr>
          <w:rFonts w:asciiTheme="minorHAnsi" w:hAnsiTheme="minorHAnsi" w:cstheme="minorHAnsi"/>
          <w:sz w:val="24"/>
          <w:szCs w:val="24"/>
        </w:rPr>
        <w:t>or entirely</w:t>
      </w:r>
      <w:proofErr w:type="gramEnd"/>
      <w:r w:rsidRPr="00175800">
        <w:rPr>
          <w:rFonts w:asciiTheme="minorHAnsi" w:hAnsiTheme="minorHAnsi" w:cstheme="minorHAnsi"/>
          <w:sz w:val="24"/>
          <w:szCs w:val="24"/>
        </w:rPr>
        <w:t xml:space="preserve"> eliminated through reallocation and the funds utilized for one or more new projects, or</w:t>
      </w:r>
      <w:r w:rsidR="00F700C6" w:rsidRPr="00175800">
        <w:rPr>
          <w:rFonts w:asciiTheme="minorHAnsi" w:hAnsiTheme="minorHAnsi" w:cstheme="minorHAnsi"/>
          <w:sz w:val="24"/>
          <w:szCs w:val="24"/>
        </w:rPr>
        <w:t xml:space="preserve"> to higher performing renewal projects. </w:t>
      </w:r>
    </w:p>
    <w:p w14:paraId="593920FF" w14:textId="77777777" w:rsidR="004B3DEB" w:rsidRPr="00175800" w:rsidRDefault="004B3DEB" w:rsidP="004B3DEB">
      <w:pPr>
        <w:rPr>
          <w:rFonts w:asciiTheme="minorHAnsi" w:hAnsiTheme="minorHAnsi" w:cstheme="minorHAnsi"/>
          <w:szCs w:val="24"/>
        </w:rPr>
      </w:pPr>
      <w:r w:rsidRPr="00175800">
        <w:rPr>
          <w:rFonts w:asciiTheme="minorHAnsi" w:hAnsiTheme="minorHAnsi" w:cstheme="minorHAnsi"/>
          <w:szCs w:val="24"/>
        </w:rPr>
        <w:t xml:space="preserve">Reallocation can occur under the following circumstances: </w:t>
      </w:r>
    </w:p>
    <w:p w14:paraId="7FB3BC89" w14:textId="77777777" w:rsidR="004B3DEB" w:rsidRPr="00175800" w:rsidRDefault="004B3DEB" w:rsidP="0041795B">
      <w:pPr>
        <w:pStyle w:val="ListParagraph"/>
        <w:numPr>
          <w:ilvl w:val="0"/>
          <w:numId w:val="4"/>
        </w:numPr>
        <w:rPr>
          <w:rFonts w:asciiTheme="minorHAnsi" w:hAnsiTheme="minorHAnsi" w:cstheme="minorHAnsi"/>
          <w:szCs w:val="24"/>
        </w:rPr>
      </w:pPr>
      <w:r w:rsidRPr="00175800">
        <w:rPr>
          <w:rFonts w:asciiTheme="minorHAnsi" w:hAnsiTheme="minorHAnsi" w:cstheme="minorHAnsi"/>
          <w:szCs w:val="24"/>
        </w:rPr>
        <w:t xml:space="preserve">Current funded project declines to renew their project </w:t>
      </w:r>
    </w:p>
    <w:p w14:paraId="2D54D52C" w14:textId="77777777" w:rsidR="004B3DEB" w:rsidRPr="00175800" w:rsidRDefault="004B3DEB" w:rsidP="0041795B">
      <w:pPr>
        <w:pStyle w:val="ListParagraph"/>
        <w:numPr>
          <w:ilvl w:val="0"/>
          <w:numId w:val="4"/>
        </w:numPr>
        <w:rPr>
          <w:rFonts w:asciiTheme="minorHAnsi" w:hAnsiTheme="minorHAnsi" w:cstheme="minorHAnsi"/>
          <w:szCs w:val="24"/>
        </w:rPr>
      </w:pPr>
      <w:r w:rsidRPr="00175800">
        <w:rPr>
          <w:rFonts w:asciiTheme="minorHAnsi" w:hAnsiTheme="minorHAnsi" w:cstheme="minorHAnsi"/>
          <w:szCs w:val="24"/>
        </w:rPr>
        <w:t xml:space="preserve">Current funded project adjusts their budget to a lower amount </w:t>
      </w:r>
    </w:p>
    <w:p w14:paraId="2A82C723" w14:textId="77777777" w:rsidR="004B3DEB" w:rsidRPr="00175800" w:rsidRDefault="004B3DEB" w:rsidP="0041795B">
      <w:pPr>
        <w:pStyle w:val="ListParagraph"/>
        <w:numPr>
          <w:ilvl w:val="0"/>
          <w:numId w:val="4"/>
        </w:numPr>
        <w:rPr>
          <w:rFonts w:asciiTheme="minorHAnsi" w:hAnsiTheme="minorHAnsi" w:cstheme="minorHAnsi"/>
          <w:szCs w:val="24"/>
        </w:rPr>
      </w:pPr>
      <w:r w:rsidRPr="00175800">
        <w:rPr>
          <w:rFonts w:asciiTheme="minorHAnsi" w:hAnsiTheme="minorHAnsi" w:cstheme="minorHAnsi"/>
          <w:szCs w:val="24"/>
        </w:rPr>
        <w:t xml:space="preserve">Current funded project voluntarily reallocates funding to a new project </w:t>
      </w:r>
    </w:p>
    <w:p w14:paraId="761E4E7F" w14:textId="77777777" w:rsidR="004B3DEB" w:rsidRPr="00175800" w:rsidRDefault="004B3DEB" w:rsidP="0041795B">
      <w:pPr>
        <w:pStyle w:val="ListParagraph"/>
        <w:numPr>
          <w:ilvl w:val="0"/>
          <w:numId w:val="4"/>
        </w:numPr>
        <w:rPr>
          <w:rFonts w:asciiTheme="minorHAnsi" w:hAnsiTheme="minorHAnsi" w:cstheme="minorHAnsi"/>
          <w:szCs w:val="24"/>
        </w:rPr>
      </w:pPr>
      <w:r w:rsidRPr="00175800">
        <w:rPr>
          <w:rFonts w:asciiTheme="minorHAnsi" w:hAnsiTheme="minorHAnsi" w:cstheme="minorHAnsi"/>
          <w:szCs w:val="24"/>
        </w:rPr>
        <w:t xml:space="preserve">Ranking Committee </w:t>
      </w:r>
      <w:r w:rsidR="0041795B" w:rsidRPr="00175800">
        <w:rPr>
          <w:rFonts w:asciiTheme="minorHAnsi" w:hAnsiTheme="minorHAnsi" w:cstheme="minorHAnsi"/>
          <w:szCs w:val="24"/>
        </w:rPr>
        <w:t xml:space="preserve">made decision to partially or fully reallocate current funded projects based on performance or HUD </w:t>
      </w:r>
      <w:r w:rsidR="00B24A34" w:rsidRPr="00175800">
        <w:rPr>
          <w:rFonts w:asciiTheme="minorHAnsi" w:hAnsiTheme="minorHAnsi" w:cstheme="minorHAnsi"/>
          <w:szCs w:val="24"/>
        </w:rPr>
        <w:t>priorities</w:t>
      </w:r>
    </w:p>
    <w:p w14:paraId="03B6549A" w14:textId="77777777" w:rsidR="00B24A34" w:rsidRPr="00175800" w:rsidRDefault="00B24A34" w:rsidP="00B24A34">
      <w:pPr>
        <w:rPr>
          <w:rFonts w:asciiTheme="minorHAnsi" w:hAnsiTheme="minorHAnsi" w:cstheme="minorHAnsi"/>
          <w:szCs w:val="24"/>
        </w:rPr>
      </w:pPr>
    </w:p>
    <w:p w14:paraId="04D8522B" w14:textId="77777777" w:rsidR="00B24A34" w:rsidRPr="00175800" w:rsidRDefault="00B24A34" w:rsidP="00B24A34">
      <w:pPr>
        <w:rPr>
          <w:rFonts w:asciiTheme="minorHAnsi" w:hAnsiTheme="minorHAnsi" w:cstheme="minorHAnsi"/>
          <w:szCs w:val="24"/>
        </w:rPr>
      </w:pPr>
      <w:r w:rsidRPr="00175800">
        <w:rPr>
          <w:rFonts w:asciiTheme="minorHAnsi" w:hAnsiTheme="minorHAnsi" w:cstheme="minorHAnsi"/>
          <w:szCs w:val="24"/>
        </w:rPr>
        <w:t xml:space="preserve">Underperforming projects </w:t>
      </w:r>
      <w:proofErr w:type="gramStart"/>
      <w:r w:rsidRPr="00175800">
        <w:rPr>
          <w:rFonts w:asciiTheme="minorHAnsi" w:hAnsiTheme="minorHAnsi" w:cstheme="minorHAnsi"/>
          <w:szCs w:val="24"/>
        </w:rPr>
        <w:t>can be defined</w:t>
      </w:r>
      <w:proofErr w:type="gramEnd"/>
      <w:r w:rsidRPr="00175800">
        <w:rPr>
          <w:rFonts w:asciiTheme="minorHAnsi" w:hAnsiTheme="minorHAnsi" w:cstheme="minorHAnsi"/>
          <w:szCs w:val="24"/>
        </w:rPr>
        <w:t xml:space="preserve"> as follows: </w:t>
      </w:r>
    </w:p>
    <w:p w14:paraId="79D4F444" w14:textId="77777777" w:rsidR="00B24A34" w:rsidRPr="00175800" w:rsidRDefault="00B24A34" w:rsidP="00B24A34">
      <w:pPr>
        <w:pStyle w:val="ListParagraph"/>
        <w:numPr>
          <w:ilvl w:val="0"/>
          <w:numId w:val="5"/>
        </w:numPr>
        <w:rPr>
          <w:rFonts w:asciiTheme="minorHAnsi" w:hAnsiTheme="minorHAnsi" w:cstheme="minorHAnsi"/>
          <w:szCs w:val="24"/>
        </w:rPr>
      </w:pPr>
      <w:r w:rsidRPr="00175800">
        <w:rPr>
          <w:rFonts w:asciiTheme="minorHAnsi" w:hAnsiTheme="minorHAnsi" w:cstheme="minorHAnsi"/>
          <w:szCs w:val="24"/>
        </w:rPr>
        <w:t xml:space="preserve">Low utilization rate </w:t>
      </w:r>
    </w:p>
    <w:p w14:paraId="79ABBAD4" w14:textId="77777777" w:rsidR="00B24A34" w:rsidRPr="00175800" w:rsidRDefault="00B24A34" w:rsidP="00B24A34">
      <w:pPr>
        <w:pStyle w:val="ListParagraph"/>
        <w:numPr>
          <w:ilvl w:val="0"/>
          <w:numId w:val="5"/>
        </w:numPr>
        <w:rPr>
          <w:rFonts w:asciiTheme="minorHAnsi" w:hAnsiTheme="minorHAnsi" w:cstheme="minorHAnsi"/>
          <w:szCs w:val="24"/>
        </w:rPr>
      </w:pPr>
      <w:r w:rsidRPr="00175800">
        <w:rPr>
          <w:rFonts w:asciiTheme="minorHAnsi" w:hAnsiTheme="minorHAnsi" w:cstheme="minorHAnsi"/>
          <w:szCs w:val="24"/>
        </w:rPr>
        <w:t xml:space="preserve">Has not participated in Coordinated Assessment </w:t>
      </w:r>
    </w:p>
    <w:p w14:paraId="4C2B4708" w14:textId="77777777" w:rsidR="00B24A34" w:rsidRPr="00175800" w:rsidRDefault="00B24A34" w:rsidP="00B24A34">
      <w:pPr>
        <w:pStyle w:val="ListParagraph"/>
        <w:numPr>
          <w:ilvl w:val="0"/>
          <w:numId w:val="5"/>
        </w:numPr>
        <w:rPr>
          <w:rFonts w:asciiTheme="minorHAnsi" w:hAnsiTheme="minorHAnsi" w:cstheme="minorHAnsi"/>
          <w:szCs w:val="24"/>
        </w:rPr>
      </w:pPr>
      <w:r w:rsidRPr="00175800">
        <w:rPr>
          <w:rFonts w:asciiTheme="minorHAnsi" w:hAnsiTheme="minorHAnsi" w:cstheme="minorHAnsi"/>
          <w:szCs w:val="24"/>
        </w:rPr>
        <w:t xml:space="preserve">Not serving the target population </w:t>
      </w:r>
    </w:p>
    <w:p w14:paraId="3350ED07" w14:textId="77777777" w:rsidR="00B24A34" w:rsidRPr="00175800" w:rsidRDefault="00B24A34" w:rsidP="00B24A34">
      <w:pPr>
        <w:pStyle w:val="ListParagraph"/>
        <w:numPr>
          <w:ilvl w:val="0"/>
          <w:numId w:val="5"/>
        </w:numPr>
        <w:rPr>
          <w:rFonts w:asciiTheme="minorHAnsi" w:hAnsiTheme="minorHAnsi" w:cstheme="minorHAnsi"/>
          <w:szCs w:val="24"/>
        </w:rPr>
      </w:pPr>
      <w:r w:rsidRPr="00175800">
        <w:rPr>
          <w:rFonts w:asciiTheme="minorHAnsi" w:hAnsiTheme="minorHAnsi" w:cstheme="minorHAnsi"/>
          <w:szCs w:val="24"/>
        </w:rPr>
        <w:t xml:space="preserve">Has a program that does not align with HUD priorities anymore (i.e., Housing First approach) </w:t>
      </w:r>
    </w:p>
    <w:p w14:paraId="42A1E755" w14:textId="77777777" w:rsidR="00B24A34" w:rsidRPr="00175800" w:rsidRDefault="00B24A34" w:rsidP="00B24A34">
      <w:pPr>
        <w:pStyle w:val="ListParagraph"/>
        <w:numPr>
          <w:ilvl w:val="0"/>
          <w:numId w:val="5"/>
        </w:numPr>
        <w:rPr>
          <w:rFonts w:asciiTheme="minorHAnsi" w:hAnsiTheme="minorHAnsi" w:cstheme="minorHAnsi"/>
          <w:szCs w:val="24"/>
        </w:rPr>
      </w:pPr>
      <w:r w:rsidRPr="00175800">
        <w:rPr>
          <w:rFonts w:asciiTheme="minorHAnsi" w:hAnsiTheme="minorHAnsi" w:cstheme="minorHAnsi"/>
          <w:szCs w:val="24"/>
        </w:rPr>
        <w:t xml:space="preserve">Misuse of federal funds </w:t>
      </w:r>
    </w:p>
    <w:p w14:paraId="58346DC9" w14:textId="77777777" w:rsidR="00B24A34" w:rsidRPr="00175800" w:rsidRDefault="00B24A34" w:rsidP="00B24A34">
      <w:pPr>
        <w:pStyle w:val="ListParagraph"/>
        <w:numPr>
          <w:ilvl w:val="0"/>
          <w:numId w:val="5"/>
        </w:numPr>
        <w:rPr>
          <w:rFonts w:asciiTheme="minorHAnsi" w:hAnsiTheme="minorHAnsi" w:cstheme="minorHAnsi"/>
          <w:szCs w:val="24"/>
        </w:rPr>
      </w:pPr>
      <w:r w:rsidRPr="00175800">
        <w:rPr>
          <w:rFonts w:asciiTheme="minorHAnsi" w:hAnsiTheme="minorHAnsi" w:cstheme="minorHAnsi"/>
          <w:szCs w:val="24"/>
        </w:rPr>
        <w:t xml:space="preserve">Program design has a negative impact on systems performance and overall CoC score </w:t>
      </w:r>
    </w:p>
    <w:p w14:paraId="6E64A3EA" w14:textId="77777777" w:rsidR="00B24A34" w:rsidRPr="00175800" w:rsidRDefault="00B24A34" w:rsidP="00B24A34">
      <w:pPr>
        <w:rPr>
          <w:rFonts w:asciiTheme="minorHAnsi" w:hAnsiTheme="minorHAnsi" w:cstheme="minorHAnsi"/>
          <w:szCs w:val="24"/>
        </w:rPr>
      </w:pPr>
    </w:p>
    <w:p w14:paraId="1E032A6A" w14:textId="13A4F376" w:rsidR="00242807" w:rsidRDefault="00242807" w:rsidP="00242807">
      <w:pPr>
        <w:pStyle w:val="Default"/>
        <w:spacing w:line="276" w:lineRule="auto"/>
        <w:rPr>
          <w:rFonts w:asciiTheme="minorHAnsi" w:hAnsiTheme="minorHAnsi"/>
          <w:b/>
          <w:color w:val="auto"/>
          <w:sz w:val="32"/>
          <w:szCs w:val="32"/>
        </w:rPr>
      </w:pPr>
      <w:r w:rsidRPr="00242807">
        <w:rPr>
          <w:rFonts w:asciiTheme="minorHAnsi" w:hAnsiTheme="minorHAnsi"/>
          <w:b/>
          <w:color w:val="auto"/>
          <w:sz w:val="32"/>
          <w:szCs w:val="32"/>
        </w:rPr>
        <w:t>Appeals Process</w:t>
      </w:r>
    </w:p>
    <w:p w14:paraId="3A1CB82E" w14:textId="77777777" w:rsidR="00242807" w:rsidRPr="00242807" w:rsidRDefault="00242807" w:rsidP="00242807">
      <w:pPr>
        <w:pStyle w:val="Default"/>
        <w:spacing w:line="276" w:lineRule="auto"/>
        <w:rPr>
          <w:rFonts w:asciiTheme="minorHAnsi" w:hAnsiTheme="minorHAnsi"/>
          <w:b/>
          <w:color w:val="auto"/>
          <w:sz w:val="32"/>
          <w:szCs w:val="32"/>
        </w:rPr>
      </w:pPr>
    </w:p>
    <w:p w14:paraId="7A7ED43C" w14:textId="77777777" w:rsidR="00242807" w:rsidRPr="00E16DEC" w:rsidRDefault="00242807" w:rsidP="00242807">
      <w:pPr>
        <w:pStyle w:val="Default"/>
        <w:numPr>
          <w:ilvl w:val="0"/>
          <w:numId w:val="6"/>
        </w:numPr>
        <w:spacing w:line="276" w:lineRule="auto"/>
        <w:rPr>
          <w:b/>
          <w:sz w:val="21"/>
          <w:szCs w:val="21"/>
        </w:rPr>
      </w:pPr>
      <w:r w:rsidRPr="00E16DEC">
        <w:rPr>
          <w:b/>
          <w:sz w:val="21"/>
          <w:szCs w:val="21"/>
        </w:rPr>
        <w:t xml:space="preserve">Who May Appeal? </w:t>
      </w:r>
    </w:p>
    <w:p w14:paraId="6EA0F6AF" w14:textId="55E3B7C4" w:rsidR="00242807" w:rsidRPr="00E16DEC" w:rsidRDefault="00242807" w:rsidP="00242807">
      <w:pPr>
        <w:pStyle w:val="Default"/>
        <w:spacing w:line="276" w:lineRule="auto"/>
        <w:ind w:left="720"/>
        <w:rPr>
          <w:sz w:val="21"/>
          <w:szCs w:val="21"/>
        </w:rPr>
      </w:pPr>
      <w:r w:rsidRPr="00E16DEC">
        <w:rPr>
          <w:sz w:val="21"/>
          <w:szCs w:val="21"/>
        </w:rPr>
        <w:t>An agency may appeal a decision concerning a project application submitted by that agency</w:t>
      </w:r>
    </w:p>
    <w:p w14:paraId="30247F34" w14:textId="77777777" w:rsidR="00242807" w:rsidRPr="00E50079" w:rsidRDefault="00242807" w:rsidP="00242807">
      <w:pPr>
        <w:pStyle w:val="Default"/>
        <w:spacing w:line="276" w:lineRule="auto"/>
        <w:ind w:left="360"/>
        <w:rPr>
          <w:sz w:val="16"/>
          <w:szCs w:val="16"/>
        </w:rPr>
      </w:pPr>
    </w:p>
    <w:p w14:paraId="0330A976" w14:textId="77777777" w:rsidR="00242807" w:rsidRPr="00E16DEC" w:rsidRDefault="00242807" w:rsidP="00242807">
      <w:pPr>
        <w:pStyle w:val="Default"/>
        <w:numPr>
          <w:ilvl w:val="0"/>
          <w:numId w:val="6"/>
        </w:numPr>
        <w:spacing w:line="276" w:lineRule="auto"/>
        <w:rPr>
          <w:b/>
          <w:sz w:val="21"/>
          <w:szCs w:val="21"/>
        </w:rPr>
      </w:pPr>
      <w:r w:rsidRPr="00E16DEC">
        <w:rPr>
          <w:b/>
          <w:sz w:val="21"/>
          <w:szCs w:val="21"/>
        </w:rPr>
        <w:t>What May Be Appealed?</w:t>
      </w:r>
    </w:p>
    <w:p w14:paraId="7CE1D6DA" w14:textId="77777777" w:rsidR="00242807" w:rsidRPr="00E16DEC" w:rsidRDefault="00242807" w:rsidP="00242807">
      <w:pPr>
        <w:pStyle w:val="Default"/>
        <w:spacing w:line="276" w:lineRule="auto"/>
        <w:ind w:left="720"/>
        <w:rPr>
          <w:sz w:val="21"/>
          <w:szCs w:val="21"/>
        </w:rPr>
      </w:pPr>
      <w:r w:rsidRPr="00E16DEC">
        <w:rPr>
          <w:sz w:val="21"/>
          <w:szCs w:val="21"/>
        </w:rPr>
        <w:lastRenderedPageBreak/>
        <w:t xml:space="preserve">The appeals process applies </w:t>
      </w:r>
      <w:r w:rsidRPr="00E16DEC">
        <w:rPr>
          <w:sz w:val="21"/>
          <w:szCs w:val="21"/>
          <w:u w:val="single"/>
        </w:rPr>
        <w:t>only</w:t>
      </w:r>
      <w:r w:rsidRPr="00E16DEC">
        <w:rPr>
          <w:sz w:val="21"/>
          <w:szCs w:val="21"/>
        </w:rPr>
        <w:t xml:space="preserve"> to project scoring and ranking. </w:t>
      </w:r>
      <w:r w:rsidRPr="00E16DEC">
        <w:rPr>
          <w:i/>
          <w:sz w:val="21"/>
          <w:szCs w:val="21"/>
        </w:rPr>
        <w:t xml:space="preserve">There is no appeal for project </w:t>
      </w:r>
      <w:proofErr w:type="spellStart"/>
      <w:r w:rsidRPr="00E16DEC">
        <w:rPr>
          <w:i/>
          <w:sz w:val="21"/>
          <w:szCs w:val="21"/>
        </w:rPr>
        <w:t>tiering</w:t>
      </w:r>
      <w:proofErr w:type="spellEnd"/>
      <w:r w:rsidRPr="00E16DEC">
        <w:rPr>
          <w:i/>
          <w:sz w:val="21"/>
          <w:szCs w:val="21"/>
        </w:rPr>
        <w:t>.</w:t>
      </w:r>
      <w:r w:rsidRPr="00E16DEC">
        <w:rPr>
          <w:sz w:val="21"/>
          <w:szCs w:val="21"/>
        </w:rPr>
        <w:t xml:space="preserve">  An appeal </w:t>
      </w:r>
      <w:proofErr w:type="gramStart"/>
      <w:r w:rsidRPr="00E16DEC">
        <w:rPr>
          <w:sz w:val="21"/>
          <w:szCs w:val="21"/>
        </w:rPr>
        <w:t xml:space="preserve">may </w:t>
      </w:r>
      <w:r w:rsidRPr="00E16DEC">
        <w:rPr>
          <w:b/>
          <w:i/>
          <w:sz w:val="21"/>
          <w:szCs w:val="21"/>
        </w:rPr>
        <w:t>not</w:t>
      </w:r>
      <w:r w:rsidRPr="00E16DEC">
        <w:rPr>
          <w:sz w:val="21"/>
          <w:szCs w:val="21"/>
        </w:rPr>
        <w:t xml:space="preserve"> be submitted</w:t>
      </w:r>
      <w:proofErr w:type="gramEnd"/>
      <w:r w:rsidRPr="00E16DEC">
        <w:rPr>
          <w:sz w:val="21"/>
          <w:szCs w:val="21"/>
        </w:rPr>
        <w:t xml:space="preserve"> if: </w:t>
      </w:r>
    </w:p>
    <w:p w14:paraId="7EFC51DE" w14:textId="77777777" w:rsidR="00242807" w:rsidRPr="00E16DEC" w:rsidRDefault="00242807" w:rsidP="00242807">
      <w:pPr>
        <w:pStyle w:val="Default"/>
        <w:numPr>
          <w:ilvl w:val="0"/>
          <w:numId w:val="7"/>
        </w:numPr>
        <w:spacing w:line="276" w:lineRule="auto"/>
        <w:rPr>
          <w:sz w:val="21"/>
          <w:szCs w:val="21"/>
        </w:rPr>
      </w:pPr>
      <w:r w:rsidRPr="00E16DEC">
        <w:rPr>
          <w:sz w:val="21"/>
          <w:szCs w:val="21"/>
        </w:rPr>
        <w:t xml:space="preserve">all questions on the application were </w:t>
      </w:r>
      <w:r w:rsidRPr="00E16DEC">
        <w:rPr>
          <w:b/>
          <w:i/>
          <w:sz w:val="21"/>
          <w:szCs w:val="21"/>
        </w:rPr>
        <w:t>not</w:t>
      </w:r>
      <w:r w:rsidRPr="00E16DEC">
        <w:rPr>
          <w:sz w:val="21"/>
          <w:szCs w:val="21"/>
        </w:rPr>
        <w:t xml:space="preserve"> completed</w:t>
      </w:r>
    </w:p>
    <w:p w14:paraId="30DDBF57" w14:textId="77777777" w:rsidR="00242807" w:rsidRPr="00E16DEC" w:rsidRDefault="00242807" w:rsidP="00242807">
      <w:pPr>
        <w:pStyle w:val="Default"/>
        <w:numPr>
          <w:ilvl w:val="0"/>
          <w:numId w:val="7"/>
        </w:numPr>
        <w:spacing w:line="276" w:lineRule="auto"/>
        <w:rPr>
          <w:sz w:val="21"/>
          <w:szCs w:val="21"/>
        </w:rPr>
      </w:pPr>
      <w:r w:rsidRPr="00E16DEC">
        <w:rPr>
          <w:sz w:val="21"/>
          <w:szCs w:val="21"/>
        </w:rPr>
        <w:t xml:space="preserve">all required attachments were </w:t>
      </w:r>
      <w:r w:rsidRPr="00E16DEC">
        <w:rPr>
          <w:b/>
          <w:i/>
          <w:sz w:val="21"/>
          <w:szCs w:val="21"/>
        </w:rPr>
        <w:t>not</w:t>
      </w:r>
      <w:r w:rsidRPr="00E16DEC">
        <w:rPr>
          <w:sz w:val="21"/>
          <w:szCs w:val="21"/>
        </w:rPr>
        <w:t xml:space="preserve"> submitted with the application</w:t>
      </w:r>
    </w:p>
    <w:p w14:paraId="460232AA" w14:textId="77777777" w:rsidR="00242807" w:rsidRPr="00E16DEC" w:rsidRDefault="00242807" w:rsidP="00242807">
      <w:pPr>
        <w:pStyle w:val="Default"/>
        <w:numPr>
          <w:ilvl w:val="0"/>
          <w:numId w:val="7"/>
        </w:numPr>
        <w:spacing w:line="276" w:lineRule="auto"/>
        <w:rPr>
          <w:sz w:val="21"/>
          <w:szCs w:val="21"/>
        </w:rPr>
      </w:pPr>
      <w:r w:rsidRPr="00E16DEC">
        <w:rPr>
          <w:sz w:val="21"/>
          <w:szCs w:val="21"/>
        </w:rPr>
        <w:t xml:space="preserve">the application was </w:t>
      </w:r>
      <w:r w:rsidRPr="00E16DEC">
        <w:rPr>
          <w:b/>
          <w:i/>
          <w:sz w:val="21"/>
          <w:szCs w:val="21"/>
        </w:rPr>
        <w:t>not</w:t>
      </w:r>
      <w:r w:rsidRPr="00E16DEC">
        <w:rPr>
          <w:sz w:val="21"/>
          <w:szCs w:val="21"/>
        </w:rPr>
        <w:t xml:space="preserve"> submitted by the required deadline </w:t>
      </w:r>
    </w:p>
    <w:p w14:paraId="7C84F64B" w14:textId="77777777" w:rsidR="00242807" w:rsidRPr="00E16DEC" w:rsidRDefault="00242807" w:rsidP="00242807">
      <w:pPr>
        <w:pStyle w:val="Default"/>
        <w:numPr>
          <w:ilvl w:val="0"/>
          <w:numId w:val="6"/>
        </w:numPr>
        <w:spacing w:line="276" w:lineRule="auto"/>
        <w:rPr>
          <w:b/>
          <w:sz w:val="21"/>
          <w:szCs w:val="21"/>
        </w:rPr>
      </w:pPr>
      <w:r w:rsidRPr="00E16DEC">
        <w:rPr>
          <w:b/>
          <w:sz w:val="21"/>
          <w:szCs w:val="21"/>
        </w:rPr>
        <w:t>Timing of an Appeal</w:t>
      </w:r>
    </w:p>
    <w:p w14:paraId="13E9965B" w14:textId="27052695" w:rsidR="00242807" w:rsidRPr="00E16DEC" w:rsidRDefault="00242807" w:rsidP="00242807">
      <w:pPr>
        <w:pStyle w:val="Default"/>
        <w:spacing w:line="276" w:lineRule="auto"/>
        <w:ind w:left="720"/>
        <w:rPr>
          <w:color w:val="auto"/>
          <w:sz w:val="21"/>
          <w:szCs w:val="21"/>
        </w:rPr>
      </w:pPr>
      <w:r w:rsidRPr="00E16DEC">
        <w:rPr>
          <w:sz w:val="21"/>
          <w:szCs w:val="21"/>
        </w:rPr>
        <w:t xml:space="preserve">Formal appeals </w:t>
      </w:r>
      <w:proofErr w:type="gramStart"/>
      <w:r w:rsidRPr="00E16DEC">
        <w:rPr>
          <w:sz w:val="21"/>
          <w:szCs w:val="21"/>
        </w:rPr>
        <w:t>may only be submitted</w:t>
      </w:r>
      <w:proofErr w:type="gramEnd"/>
      <w:r w:rsidRPr="00E16DEC">
        <w:rPr>
          <w:sz w:val="21"/>
          <w:szCs w:val="21"/>
        </w:rPr>
        <w:t xml:space="preserve"> by a project within </w:t>
      </w:r>
      <w:r w:rsidRPr="00E16DEC">
        <w:rPr>
          <w:b/>
          <w:sz w:val="21"/>
          <w:szCs w:val="21"/>
          <w:u w:val="single"/>
        </w:rPr>
        <w:t>three (3) business days</w:t>
      </w:r>
      <w:r w:rsidRPr="00E16DEC">
        <w:rPr>
          <w:sz w:val="21"/>
          <w:szCs w:val="21"/>
        </w:rPr>
        <w:t xml:space="preserve"> of </w:t>
      </w:r>
      <w:r w:rsidR="00C80830">
        <w:rPr>
          <w:sz w:val="21"/>
          <w:szCs w:val="21"/>
        </w:rPr>
        <w:t>a project receiving their ranking</w:t>
      </w:r>
      <w:r w:rsidRPr="00E16DEC">
        <w:rPr>
          <w:sz w:val="21"/>
          <w:szCs w:val="21"/>
        </w:rPr>
        <w:t xml:space="preserve">.  Appeals </w:t>
      </w:r>
      <w:proofErr w:type="gramStart"/>
      <w:r w:rsidRPr="00E16DEC">
        <w:rPr>
          <w:sz w:val="21"/>
          <w:szCs w:val="21"/>
        </w:rPr>
        <w:t>must be submitted</w:t>
      </w:r>
      <w:proofErr w:type="gramEnd"/>
      <w:r w:rsidRPr="00E16DEC">
        <w:rPr>
          <w:sz w:val="21"/>
          <w:szCs w:val="21"/>
        </w:rPr>
        <w:t xml:space="preserve"> in writing to the Collaborative Applicant, who will then </w:t>
      </w:r>
      <w:r w:rsidR="00C80830">
        <w:rPr>
          <w:sz w:val="21"/>
          <w:szCs w:val="21"/>
        </w:rPr>
        <w:t>forward to the Ranking Committee</w:t>
      </w:r>
      <w:r w:rsidRPr="00E16DEC">
        <w:rPr>
          <w:sz w:val="21"/>
          <w:szCs w:val="21"/>
        </w:rPr>
        <w:t>. The written appeal must consist of a brief statement no longer than one page, and can be in the form of a letter, memo or email. Any appeal via email must be sent to</w:t>
      </w:r>
      <w:r w:rsidR="00C80830">
        <w:rPr>
          <w:sz w:val="21"/>
          <w:szCs w:val="21"/>
        </w:rPr>
        <w:t xml:space="preserve"> the Human Services Coalition</w:t>
      </w:r>
      <w:proofErr w:type="gramStart"/>
      <w:r w:rsidR="00C80830">
        <w:rPr>
          <w:sz w:val="21"/>
          <w:szCs w:val="21"/>
        </w:rPr>
        <w:t xml:space="preserve">, </w:t>
      </w:r>
      <w:r w:rsidRPr="00E16DEC">
        <w:rPr>
          <w:sz w:val="21"/>
          <w:szCs w:val="21"/>
        </w:rPr>
        <w:t xml:space="preserve"> </w:t>
      </w:r>
      <w:proofErr w:type="gramEnd"/>
      <w:r w:rsidR="00CE47AE">
        <w:fldChar w:fldCharType="begin"/>
      </w:r>
      <w:r w:rsidR="00CE47AE">
        <w:instrText xml:space="preserve"> HYPERLINK "mailto:tlabrada@hsctc.org" </w:instrText>
      </w:r>
      <w:r w:rsidR="00CE47AE">
        <w:fldChar w:fldCharType="separate"/>
      </w:r>
      <w:r w:rsidR="00C80830" w:rsidRPr="00EE7CA3">
        <w:rPr>
          <w:rStyle w:val="Hyperlink"/>
        </w:rPr>
        <w:t>tlabrada@hsctc.org</w:t>
      </w:r>
      <w:r w:rsidR="00CE47AE">
        <w:rPr>
          <w:rStyle w:val="Hyperlink"/>
        </w:rPr>
        <w:fldChar w:fldCharType="end"/>
      </w:r>
      <w:r w:rsidR="00C80830">
        <w:t xml:space="preserve"> , the Collaborative Applicant and Lead Agency. </w:t>
      </w:r>
    </w:p>
    <w:p w14:paraId="63B34E92" w14:textId="77777777" w:rsidR="00C80830" w:rsidRPr="00F850C9" w:rsidRDefault="00C80830" w:rsidP="00C80830">
      <w:pPr>
        <w:pStyle w:val="Default"/>
        <w:numPr>
          <w:ilvl w:val="0"/>
          <w:numId w:val="6"/>
        </w:numPr>
        <w:spacing w:line="276" w:lineRule="auto"/>
        <w:rPr>
          <w:b/>
          <w:sz w:val="22"/>
          <w:szCs w:val="22"/>
        </w:rPr>
      </w:pPr>
      <w:r w:rsidRPr="00E16DEC">
        <w:rPr>
          <w:b/>
          <w:sz w:val="21"/>
          <w:szCs w:val="21"/>
        </w:rPr>
        <w:t>Appeals Decisions</w:t>
      </w:r>
    </w:p>
    <w:p w14:paraId="70DA293A" w14:textId="651C4ABC" w:rsidR="00C80830" w:rsidRPr="00E16DEC" w:rsidRDefault="00C80830" w:rsidP="00C80830">
      <w:pPr>
        <w:pStyle w:val="Default"/>
        <w:spacing w:line="276" w:lineRule="auto"/>
        <w:ind w:left="720"/>
        <w:rPr>
          <w:sz w:val="21"/>
          <w:szCs w:val="21"/>
        </w:rPr>
      </w:pPr>
      <w:r>
        <w:rPr>
          <w:sz w:val="21"/>
          <w:szCs w:val="21"/>
        </w:rPr>
        <w:t xml:space="preserve">The Ranking committee and the CoC Governance committee will review all appeals. Appeals </w:t>
      </w:r>
      <w:proofErr w:type="gramStart"/>
      <w:r>
        <w:rPr>
          <w:sz w:val="21"/>
          <w:szCs w:val="21"/>
        </w:rPr>
        <w:t>are decided</w:t>
      </w:r>
      <w:proofErr w:type="gramEnd"/>
      <w:r>
        <w:rPr>
          <w:sz w:val="21"/>
          <w:szCs w:val="21"/>
        </w:rPr>
        <w:t xml:space="preserve"> by majority vote and may not be overturned by the full CoC. </w:t>
      </w:r>
    </w:p>
    <w:p w14:paraId="09DD97E0" w14:textId="77777777" w:rsidR="00242807" w:rsidRDefault="00242807" w:rsidP="00242807">
      <w:pPr>
        <w:pStyle w:val="Heading3"/>
        <w:jc w:val="left"/>
        <w:rPr>
          <w:rFonts w:asciiTheme="minorHAnsi" w:hAnsiTheme="minorHAnsi" w:cstheme="minorHAnsi"/>
          <w:szCs w:val="24"/>
        </w:rPr>
      </w:pPr>
    </w:p>
    <w:p w14:paraId="25F1376E" w14:textId="440D9089" w:rsidR="00B24A34" w:rsidRPr="00175800" w:rsidRDefault="0030713D" w:rsidP="00C80830">
      <w:pPr>
        <w:pStyle w:val="Heading3"/>
        <w:jc w:val="left"/>
        <w:rPr>
          <w:rFonts w:asciiTheme="minorHAnsi" w:hAnsiTheme="minorHAnsi" w:cstheme="minorHAnsi"/>
          <w:szCs w:val="24"/>
        </w:rPr>
      </w:pPr>
      <w:r w:rsidRPr="00175800">
        <w:rPr>
          <w:rFonts w:asciiTheme="minorHAnsi" w:hAnsiTheme="minorHAnsi" w:cstheme="minorHAnsi"/>
          <w:szCs w:val="24"/>
        </w:rPr>
        <w:t>Funding</w:t>
      </w:r>
    </w:p>
    <w:p w14:paraId="31E82E56" w14:textId="77777777" w:rsidR="0030713D" w:rsidRPr="00175800" w:rsidRDefault="0030713D" w:rsidP="0030713D">
      <w:pPr>
        <w:rPr>
          <w:rFonts w:asciiTheme="minorHAnsi" w:hAnsiTheme="minorHAnsi" w:cstheme="minorHAnsi"/>
          <w:szCs w:val="24"/>
        </w:rPr>
      </w:pPr>
      <w:r w:rsidRPr="00175800">
        <w:rPr>
          <w:rFonts w:asciiTheme="minorHAnsi" w:hAnsiTheme="minorHAnsi" w:cstheme="minorHAnsi"/>
          <w:szCs w:val="24"/>
        </w:rPr>
        <w:t xml:space="preserve">Funding is at the discretion of HUD. The CoC is not fully responsible for HUD’s decision to eliminate funding based on ARD or Pro Rata Need. The overall CoC performance measure contributes to the amount received, which means higher performing projects are vital to ensuring continued funding through this competition. </w:t>
      </w:r>
    </w:p>
    <w:sectPr w:rsidR="0030713D" w:rsidRPr="0017580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5F709" w14:textId="77777777" w:rsidR="004C61F3" w:rsidRDefault="004C61F3" w:rsidP="004C61F3">
      <w:pPr>
        <w:spacing w:after="0" w:line="240" w:lineRule="auto"/>
      </w:pPr>
      <w:r>
        <w:separator/>
      </w:r>
    </w:p>
  </w:endnote>
  <w:endnote w:type="continuationSeparator" w:id="0">
    <w:p w14:paraId="000B58F2" w14:textId="77777777" w:rsidR="004C61F3" w:rsidRDefault="004C61F3" w:rsidP="004C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36C0A" w:themeColor="accent6" w:themeShade="BF"/>
      </w:rPr>
      <w:id w:val="-1056777435"/>
      <w:docPartObj>
        <w:docPartGallery w:val="Page Numbers (Bottom of Page)"/>
        <w:docPartUnique/>
      </w:docPartObj>
    </w:sdtPr>
    <w:sdtEndPr>
      <w:rPr>
        <w:spacing w:val="60"/>
      </w:rPr>
    </w:sdtEndPr>
    <w:sdtContent>
      <w:p w14:paraId="577F691B" w14:textId="210DAAF7" w:rsidR="004C61F3" w:rsidRPr="009E3B00" w:rsidRDefault="004C61F3">
        <w:pPr>
          <w:pStyle w:val="Footer"/>
          <w:pBdr>
            <w:top w:val="single" w:sz="4" w:space="1" w:color="D9D9D9" w:themeColor="background1" w:themeShade="D9"/>
          </w:pBdr>
          <w:jc w:val="right"/>
          <w:rPr>
            <w:color w:val="E36C0A" w:themeColor="accent6" w:themeShade="BF"/>
          </w:rPr>
        </w:pPr>
        <w:r w:rsidRPr="009E3B00">
          <w:rPr>
            <w:color w:val="E36C0A" w:themeColor="accent6" w:themeShade="BF"/>
          </w:rPr>
          <w:fldChar w:fldCharType="begin"/>
        </w:r>
        <w:r w:rsidRPr="009E3B00">
          <w:rPr>
            <w:color w:val="E36C0A" w:themeColor="accent6" w:themeShade="BF"/>
          </w:rPr>
          <w:instrText xml:space="preserve"> PAGE   \* MERGEFORMAT </w:instrText>
        </w:r>
        <w:r w:rsidRPr="009E3B00">
          <w:rPr>
            <w:color w:val="E36C0A" w:themeColor="accent6" w:themeShade="BF"/>
          </w:rPr>
          <w:fldChar w:fldCharType="separate"/>
        </w:r>
        <w:r w:rsidR="00CE47AE">
          <w:rPr>
            <w:noProof/>
            <w:color w:val="E36C0A" w:themeColor="accent6" w:themeShade="BF"/>
          </w:rPr>
          <w:t>5</w:t>
        </w:r>
        <w:r w:rsidRPr="009E3B00">
          <w:rPr>
            <w:noProof/>
            <w:color w:val="E36C0A" w:themeColor="accent6" w:themeShade="BF"/>
          </w:rPr>
          <w:fldChar w:fldCharType="end"/>
        </w:r>
        <w:r w:rsidRPr="009E3B00">
          <w:rPr>
            <w:color w:val="E36C0A" w:themeColor="accent6" w:themeShade="BF"/>
          </w:rPr>
          <w:t xml:space="preserve"> | </w:t>
        </w:r>
        <w:r w:rsidRPr="009E3B00">
          <w:rPr>
            <w:color w:val="E36C0A" w:themeColor="accent6" w:themeShade="BF"/>
            <w:spacing w:val="60"/>
          </w:rPr>
          <w:t>Page</w:t>
        </w:r>
      </w:p>
    </w:sdtContent>
  </w:sdt>
  <w:p w14:paraId="4DF01224" w14:textId="77777777" w:rsidR="004C61F3" w:rsidRPr="00B24A34" w:rsidRDefault="00B24A34">
    <w:pPr>
      <w:pStyle w:val="Footer"/>
      <w:rPr>
        <w:i/>
        <w:sz w:val="18"/>
        <w:szCs w:val="18"/>
      </w:rPr>
    </w:pPr>
    <w:r w:rsidRPr="00B24A34">
      <w:rPr>
        <w:i/>
        <w:sz w:val="18"/>
        <w:szCs w:val="18"/>
      </w:rPr>
      <w:t>Parts of this notice was adapted from HAWNY NY-508 CoC</w:t>
    </w:r>
    <w:r w:rsidR="00BD6593">
      <w:rPr>
        <w:i/>
        <w:sz w:val="18"/>
        <w:szCs w:val="18"/>
      </w:rPr>
      <w:t xml:space="preserve"> HUD Funding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3536" w14:textId="77777777" w:rsidR="004C61F3" w:rsidRDefault="004C61F3" w:rsidP="004C61F3">
      <w:pPr>
        <w:spacing w:after="0" w:line="240" w:lineRule="auto"/>
      </w:pPr>
      <w:r>
        <w:separator/>
      </w:r>
    </w:p>
  </w:footnote>
  <w:footnote w:type="continuationSeparator" w:id="0">
    <w:p w14:paraId="78AAA259" w14:textId="77777777" w:rsidR="004C61F3" w:rsidRDefault="004C61F3" w:rsidP="004C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ediumList1-Accent2"/>
      <w:tblW w:w="5000" w:type="pct"/>
      <w:tblLook w:val="04A0" w:firstRow="1" w:lastRow="0" w:firstColumn="1" w:lastColumn="0" w:noHBand="0" w:noVBand="1"/>
    </w:tblPr>
    <w:tblGrid>
      <w:gridCol w:w="8194"/>
      <w:gridCol w:w="1166"/>
    </w:tblGrid>
    <w:tr w:rsidR="004C61F3" w14:paraId="6C214211" w14:textId="77777777" w:rsidTr="00CC0974">
      <w:trPr>
        <w:cnfStyle w:val="100000000000" w:firstRow="1" w:lastRow="0" w:firstColumn="0" w:lastColumn="0" w:oddVBand="0" w:evenVBand="0" w:oddHBand="0" w:evenHBand="0" w:firstRowFirstColumn="0" w:firstRowLastColumn="0" w:lastRowFirstColumn="0" w:lastRowLastColumn="0"/>
        <w:trHeight w:val="288"/>
      </w:trPr>
      <w:sdt>
        <w:sdtPr>
          <w:rPr>
            <w:rFonts w:asciiTheme="majorHAnsi" w:eastAsiaTheme="majorEastAsia" w:hAnsiTheme="majorHAnsi" w:cstheme="majorBidi"/>
            <w:sz w:val="32"/>
            <w:szCs w:val="36"/>
          </w:rPr>
          <w:alias w:val="Title"/>
          <w:id w:val="77761602"/>
          <w:placeholder>
            <w:docPart w:val="C9ADE7E39EC54193A9FD9DECFB143E07"/>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7765" w:type="dxa"/>
            </w:tcPr>
            <w:p w14:paraId="53442BEC" w14:textId="77777777" w:rsidR="004C61F3" w:rsidRPr="00CC0974" w:rsidRDefault="004C61F3">
              <w:pPr>
                <w:pStyle w:val="Header"/>
                <w:jc w:val="right"/>
                <w:rPr>
                  <w:rFonts w:asciiTheme="majorHAnsi" w:eastAsiaTheme="majorEastAsia" w:hAnsiTheme="majorHAnsi" w:cstheme="majorBidi"/>
                  <w:sz w:val="32"/>
                  <w:szCs w:val="36"/>
                </w:rPr>
              </w:pPr>
              <w:r w:rsidRPr="00CC0974">
                <w:rPr>
                  <w:rFonts w:asciiTheme="majorHAnsi" w:eastAsiaTheme="majorEastAsia" w:hAnsiTheme="majorHAnsi" w:cstheme="majorBidi"/>
                  <w:sz w:val="32"/>
                  <w:szCs w:val="36"/>
                </w:rPr>
                <w:t>Ithaca/Tompkins CoC Ranking and Review Process</w:t>
              </w:r>
            </w:p>
          </w:tc>
        </w:sdtContent>
      </w:sdt>
      <w:sdt>
        <w:sdtPr>
          <w:rPr>
            <w:rFonts w:asciiTheme="majorHAnsi" w:eastAsiaTheme="majorEastAsia" w:hAnsiTheme="majorHAnsi" w:cstheme="majorBidi"/>
            <w:b/>
            <w:bCs/>
            <w:color w:val="E36C0A" w:themeColor="accent6"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B31BC46BB90473987C313B635ABEDB0"/>
          </w:placeholder>
          <w:dataBinding w:prefixMappings="xmlns:ns0='http://schemas.microsoft.com/office/2006/coverPageProps'" w:xpath="/ns0:CoverPageProperties[1]/ns0:PublishDate[1]" w:storeItemID="{55AF091B-3C7A-41E3-B477-F2FDAA23CFDA}"/>
          <w:date w:fullDate="2018-07-02T00:00:00Z">
            <w:dateFormat w:val="yyyy"/>
            <w:lid w:val="en-US"/>
            <w:storeMappedDataAs w:val="dateTime"/>
            <w:calendar w:val="gregorian"/>
          </w:date>
        </w:sdtPr>
        <w:sdtEndPr/>
        <w:sdtContent>
          <w:tc>
            <w:tcPr>
              <w:tcW w:w="1105" w:type="dxa"/>
            </w:tcPr>
            <w:p w14:paraId="7955D034" w14:textId="77777777" w:rsidR="004C61F3" w:rsidRDefault="009B779E" w:rsidP="004C61F3">
              <w:pPr>
                <w:pStyle w:val="Head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E36C0A" w:themeColor="accent6" w:themeShade="BF"/>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52F064A9" w14:textId="77777777" w:rsidR="004C61F3" w:rsidRDefault="004C6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8B4"/>
    <w:multiLevelType w:val="hybridMultilevel"/>
    <w:tmpl w:val="1646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B182E"/>
    <w:multiLevelType w:val="hybridMultilevel"/>
    <w:tmpl w:val="CE74F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F19FD"/>
    <w:multiLevelType w:val="hybridMultilevel"/>
    <w:tmpl w:val="717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45129"/>
    <w:multiLevelType w:val="hybridMultilevel"/>
    <w:tmpl w:val="BFAE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7278C"/>
    <w:multiLevelType w:val="hybridMultilevel"/>
    <w:tmpl w:val="D33A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05AA4"/>
    <w:multiLevelType w:val="hybridMultilevel"/>
    <w:tmpl w:val="1502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40"/>
    <w:rsid w:val="000C0B6F"/>
    <w:rsid w:val="000D3E0C"/>
    <w:rsid w:val="000D6F4C"/>
    <w:rsid w:val="001341E6"/>
    <w:rsid w:val="00175800"/>
    <w:rsid w:val="0019004A"/>
    <w:rsid w:val="00191443"/>
    <w:rsid w:val="001F7651"/>
    <w:rsid w:val="00242807"/>
    <w:rsid w:val="00271172"/>
    <w:rsid w:val="0030713D"/>
    <w:rsid w:val="0041795B"/>
    <w:rsid w:val="00472BC6"/>
    <w:rsid w:val="004B3DEB"/>
    <w:rsid w:val="004C61F3"/>
    <w:rsid w:val="005606CD"/>
    <w:rsid w:val="00587640"/>
    <w:rsid w:val="006407B4"/>
    <w:rsid w:val="00712A68"/>
    <w:rsid w:val="00792B28"/>
    <w:rsid w:val="00830DD2"/>
    <w:rsid w:val="0084679B"/>
    <w:rsid w:val="0098705A"/>
    <w:rsid w:val="009B779E"/>
    <w:rsid w:val="009E3B00"/>
    <w:rsid w:val="009F20FF"/>
    <w:rsid w:val="00B07E05"/>
    <w:rsid w:val="00B24A34"/>
    <w:rsid w:val="00BA3B56"/>
    <w:rsid w:val="00BB4BBB"/>
    <w:rsid w:val="00BD6593"/>
    <w:rsid w:val="00C64B7C"/>
    <w:rsid w:val="00C80830"/>
    <w:rsid w:val="00CC0974"/>
    <w:rsid w:val="00CE47AE"/>
    <w:rsid w:val="00D01C39"/>
    <w:rsid w:val="00D41AD2"/>
    <w:rsid w:val="00DB523E"/>
    <w:rsid w:val="00DE5A4F"/>
    <w:rsid w:val="00F700C6"/>
    <w:rsid w:val="00FA3E0A"/>
    <w:rsid w:val="00FF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CFC4"/>
  <w15:docId w15:val="{16787F8C-349D-4396-A83F-C691ED13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640"/>
    <w:rPr>
      <w:rFonts w:ascii="Times New Roman" w:eastAsia="Calibri" w:hAnsi="Times New Roman" w:cs="Times New Roman"/>
      <w:sz w:val="24"/>
    </w:rPr>
  </w:style>
  <w:style w:type="paragraph" w:styleId="Heading1">
    <w:name w:val="heading 1"/>
    <w:basedOn w:val="Normal"/>
    <w:next w:val="Normal"/>
    <w:link w:val="Heading1Char"/>
    <w:uiPriority w:val="9"/>
    <w:qFormat/>
    <w:rsid w:val="004C61F3"/>
    <w:pPr>
      <w:keepNext/>
      <w:outlineLvl w:val="0"/>
    </w:pPr>
    <w:rPr>
      <w:b/>
      <w:sz w:val="32"/>
      <w:szCs w:val="32"/>
    </w:rPr>
  </w:style>
  <w:style w:type="paragraph" w:styleId="Heading2">
    <w:name w:val="heading 2"/>
    <w:basedOn w:val="Normal"/>
    <w:next w:val="Normal"/>
    <w:link w:val="Heading2Char"/>
    <w:uiPriority w:val="9"/>
    <w:unhideWhenUsed/>
    <w:qFormat/>
    <w:rsid w:val="004B3DEB"/>
    <w:pPr>
      <w:keepNext/>
      <w:jc w:val="center"/>
      <w:outlineLvl w:val="1"/>
    </w:pPr>
    <w:rPr>
      <w:b/>
      <w:sz w:val="44"/>
      <w:szCs w:val="44"/>
    </w:rPr>
  </w:style>
  <w:style w:type="paragraph" w:styleId="Heading3">
    <w:name w:val="heading 3"/>
    <w:basedOn w:val="Normal"/>
    <w:next w:val="Normal"/>
    <w:link w:val="Heading3Char"/>
    <w:uiPriority w:val="9"/>
    <w:unhideWhenUsed/>
    <w:qFormat/>
    <w:rsid w:val="0030713D"/>
    <w:pPr>
      <w:keepNext/>
      <w:jc w:val="center"/>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87640"/>
    <w:pPr>
      <w:jc w:val="center"/>
    </w:pPr>
    <w:rPr>
      <w:b/>
      <w:sz w:val="44"/>
      <w:szCs w:val="44"/>
    </w:rPr>
  </w:style>
  <w:style w:type="character" w:customStyle="1" w:styleId="BodyTextChar">
    <w:name w:val="Body Text Char"/>
    <w:basedOn w:val="DefaultParagraphFont"/>
    <w:link w:val="BodyText"/>
    <w:uiPriority w:val="99"/>
    <w:rsid w:val="00587640"/>
    <w:rPr>
      <w:rFonts w:ascii="Times New Roman" w:eastAsia="Calibri" w:hAnsi="Times New Roman" w:cs="Times New Roman"/>
      <w:b/>
      <w:sz w:val="44"/>
      <w:szCs w:val="44"/>
    </w:rPr>
  </w:style>
  <w:style w:type="paragraph" w:styleId="BodyText2">
    <w:name w:val="Body Text 2"/>
    <w:basedOn w:val="Normal"/>
    <w:link w:val="BodyText2Char"/>
    <w:uiPriority w:val="99"/>
    <w:unhideWhenUsed/>
    <w:rsid w:val="00587640"/>
    <w:rPr>
      <w:b/>
      <w:sz w:val="32"/>
      <w:szCs w:val="32"/>
    </w:rPr>
  </w:style>
  <w:style w:type="character" w:customStyle="1" w:styleId="BodyText2Char">
    <w:name w:val="Body Text 2 Char"/>
    <w:basedOn w:val="DefaultParagraphFont"/>
    <w:link w:val="BodyText2"/>
    <w:uiPriority w:val="99"/>
    <w:rsid w:val="00587640"/>
    <w:rPr>
      <w:rFonts w:ascii="Times New Roman" w:eastAsia="Calibri" w:hAnsi="Times New Roman" w:cs="Times New Roman"/>
      <w:b/>
      <w:sz w:val="32"/>
      <w:szCs w:val="32"/>
    </w:rPr>
  </w:style>
  <w:style w:type="character" w:customStyle="1" w:styleId="Heading1Char">
    <w:name w:val="Heading 1 Char"/>
    <w:basedOn w:val="DefaultParagraphFont"/>
    <w:link w:val="Heading1"/>
    <w:uiPriority w:val="9"/>
    <w:rsid w:val="004C61F3"/>
    <w:rPr>
      <w:rFonts w:ascii="Times New Roman" w:eastAsia="Calibri" w:hAnsi="Times New Roman" w:cs="Times New Roman"/>
      <w:b/>
      <w:sz w:val="32"/>
      <w:szCs w:val="32"/>
    </w:rPr>
  </w:style>
  <w:style w:type="paragraph" w:styleId="Header">
    <w:name w:val="header"/>
    <w:basedOn w:val="Normal"/>
    <w:link w:val="HeaderChar"/>
    <w:uiPriority w:val="99"/>
    <w:unhideWhenUsed/>
    <w:rsid w:val="004C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F3"/>
    <w:rPr>
      <w:rFonts w:ascii="Times New Roman" w:eastAsia="Calibri" w:hAnsi="Times New Roman" w:cs="Times New Roman"/>
      <w:sz w:val="24"/>
    </w:rPr>
  </w:style>
  <w:style w:type="paragraph" w:styleId="Footer">
    <w:name w:val="footer"/>
    <w:basedOn w:val="Normal"/>
    <w:link w:val="FooterChar"/>
    <w:uiPriority w:val="99"/>
    <w:unhideWhenUsed/>
    <w:rsid w:val="004C6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F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C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F3"/>
    <w:rPr>
      <w:rFonts w:ascii="Tahoma" w:eastAsia="Calibri" w:hAnsi="Tahoma" w:cs="Tahoma"/>
      <w:sz w:val="16"/>
      <w:szCs w:val="16"/>
    </w:rPr>
  </w:style>
  <w:style w:type="paragraph" w:customStyle="1" w:styleId="2909F619802848F09E01365C32F34654">
    <w:name w:val="2909F619802848F09E01365C32F34654"/>
    <w:rsid w:val="004C61F3"/>
    <w:rPr>
      <w:rFonts w:eastAsiaTheme="minorEastAsia"/>
      <w:lang w:eastAsia="ja-JP"/>
    </w:rPr>
  </w:style>
  <w:style w:type="paragraph" w:styleId="NoSpacing">
    <w:name w:val="No Spacing"/>
    <w:link w:val="NoSpacingChar"/>
    <w:uiPriority w:val="1"/>
    <w:qFormat/>
    <w:rsid w:val="004C61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61F3"/>
    <w:rPr>
      <w:rFonts w:eastAsiaTheme="minorEastAsia"/>
      <w:lang w:eastAsia="ja-JP"/>
    </w:rPr>
  </w:style>
  <w:style w:type="character" w:styleId="Hyperlink">
    <w:name w:val="Hyperlink"/>
    <w:basedOn w:val="DefaultParagraphFont"/>
    <w:uiPriority w:val="99"/>
    <w:unhideWhenUsed/>
    <w:rsid w:val="00830DD2"/>
    <w:rPr>
      <w:color w:val="0000FF" w:themeColor="hyperlink"/>
      <w:u w:val="single"/>
    </w:rPr>
  </w:style>
  <w:style w:type="paragraph" w:styleId="ListParagraph">
    <w:name w:val="List Paragraph"/>
    <w:basedOn w:val="Normal"/>
    <w:uiPriority w:val="34"/>
    <w:qFormat/>
    <w:rsid w:val="00830DD2"/>
    <w:pPr>
      <w:ind w:left="720"/>
      <w:contextualSpacing/>
    </w:pPr>
  </w:style>
  <w:style w:type="character" w:customStyle="1" w:styleId="Heading2Char">
    <w:name w:val="Heading 2 Char"/>
    <w:basedOn w:val="DefaultParagraphFont"/>
    <w:link w:val="Heading2"/>
    <w:uiPriority w:val="9"/>
    <w:rsid w:val="004B3DEB"/>
    <w:rPr>
      <w:rFonts w:ascii="Times New Roman" w:eastAsia="Calibri" w:hAnsi="Times New Roman" w:cs="Times New Roman"/>
      <w:b/>
      <w:sz w:val="44"/>
      <w:szCs w:val="44"/>
    </w:rPr>
  </w:style>
  <w:style w:type="paragraph" w:styleId="BodyText3">
    <w:name w:val="Body Text 3"/>
    <w:basedOn w:val="Normal"/>
    <w:link w:val="BodyText3Char"/>
    <w:uiPriority w:val="99"/>
    <w:unhideWhenUsed/>
    <w:rsid w:val="004B3DEB"/>
    <w:rPr>
      <w:sz w:val="32"/>
      <w:szCs w:val="32"/>
    </w:rPr>
  </w:style>
  <w:style w:type="character" w:customStyle="1" w:styleId="BodyText3Char">
    <w:name w:val="Body Text 3 Char"/>
    <w:basedOn w:val="DefaultParagraphFont"/>
    <w:link w:val="BodyText3"/>
    <w:uiPriority w:val="99"/>
    <w:rsid w:val="004B3DEB"/>
    <w:rPr>
      <w:rFonts w:ascii="Times New Roman" w:eastAsia="Calibri" w:hAnsi="Times New Roman" w:cs="Times New Roman"/>
      <w:sz w:val="32"/>
      <w:szCs w:val="32"/>
    </w:rPr>
  </w:style>
  <w:style w:type="character" w:customStyle="1" w:styleId="Heading3Char">
    <w:name w:val="Heading 3 Char"/>
    <w:basedOn w:val="DefaultParagraphFont"/>
    <w:link w:val="Heading3"/>
    <w:uiPriority w:val="9"/>
    <w:rsid w:val="0030713D"/>
    <w:rPr>
      <w:rFonts w:ascii="Times New Roman" w:eastAsia="Calibri" w:hAnsi="Times New Roman" w:cs="Times New Roman"/>
      <w:b/>
      <w:sz w:val="32"/>
      <w:szCs w:val="32"/>
    </w:rPr>
  </w:style>
  <w:style w:type="table" w:styleId="MediumList1-Accent2">
    <w:name w:val="Medium List 1 Accent 2"/>
    <w:basedOn w:val="TableNormal"/>
    <w:uiPriority w:val="65"/>
    <w:rsid w:val="00CC097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CommentReference">
    <w:name w:val="annotation reference"/>
    <w:basedOn w:val="DefaultParagraphFont"/>
    <w:uiPriority w:val="99"/>
    <w:semiHidden/>
    <w:unhideWhenUsed/>
    <w:rsid w:val="000D3E0C"/>
    <w:rPr>
      <w:sz w:val="16"/>
      <w:szCs w:val="16"/>
    </w:rPr>
  </w:style>
  <w:style w:type="paragraph" w:styleId="CommentText">
    <w:name w:val="annotation text"/>
    <w:basedOn w:val="Normal"/>
    <w:link w:val="CommentTextChar"/>
    <w:uiPriority w:val="99"/>
    <w:semiHidden/>
    <w:unhideWhenUsed/>
    <w:rsid w:val="000D3E0C"/>
    <w:pPr>
      <w:spacing w:line="240" w:lineRule="auto"/>
    </w:pPr>
    <w:rPr>
      <w:sz w:val="20"/>
      <w:szCs w:val="20"/>
    </w:rPr>
  </w:style>
  <w:style w:type="character" w:customStyle="1" w:styleId="CommentTextChar">
    <w:name w:val="Comment Text Char"/>
    <w:basedOn w:val="DefaultParagraphFont"/>
    <w:link w:val="CommentText"/>
    <w:uiPriority w:val="99"/>
    <w:semiHidden/>
    <w:rsid w:val="000D3E0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E0C"/>
    <w:rPr>
      <w:b/>
      <w:bCs/>
    </w:rPr>
  </w:style>
  <w:style w:type="character" w:customStyle="1" w:styleId="CommentSubjectChar">
    <w:name w:val="Comment Subject Char"/>
    <w:basedOn w:val="CommentTextChar"/>
    <w:link w:val="CommentSubject"/>
    <w:uiPriority w:val="99"/>
    <w:semiHidden/>
    <w:rsid w:val="000D3E0C"/>
    <w:rPr>
      <w:rFonts w:ascii="Times New Roman" w:eastAsia="Calibri" w:hAnsi="Times New Roman" w:cs="Times New Roman"/>
      <w:b/>
      <w:bCs/>
      <w:sz w:val="20"/>
      <w:szCs w:val="20"/>
    </w:rPr>
  </w:style>
  <w:style w:type="paragraph" w:customStyle="1" w:styleId="Default">
    <w:name w:val="Default"/>
    <w:rsid w:val="00242807"/>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na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ctc.org/wp-content/uploads/2018/07/FY18-CoC-Ranking-Tool.xls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ctc.org/wp-content/uploads/2018/06/FY2018-NOF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sctc.org/wp-content/uploads/2018/07/FY18-CoC-Ranking-Tool.xlsb" TargetMode="External"/><Relationship Id="rId4" Type="http://schemas.openxmlformats.org/officeDocument/2006/relationships/settings" Target="settings.xml"/><Relationship Id="rId9" Type="http://schemas.openxmlformats.org/officeDocument/2006/relationships/hyperlink" Target="https://hsctc.org/wp-content/uploads/2018/07/FY18-CoC-Ranking-Tool.xlsb"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DE7E39EC54193A9FD9DECFB143E07"/>
        <w:category>
          <w:name w:val="General"/>
          <w:gallery w:val="placeholder"/>
        </w:category>
        <w:types>
          <w:type w:val="bbPlcHdr"/>
        </w:types>
        <w:behaviors>
          <w:behavior w:val="content"/>
        </w:behaviors>
        <w:guid w:val="{161614E3-471F-4F3F-9C5F-68A72015D114}"/>
      </w:docPartPr>
      <w:docPartBody>
        <w:p w:rsidR="00D349CD" w:rsidRDefault="00460CD9" w:rsidP="00460CD9">
          <w:pPr>
            <w:pStyle w:val="C9ADE7E39EC54193A9FD9DECFB143E07"/>
          </w:pPr>
          <w:r>
            <w:rPr>
              <w:rFonts w:asciiTheme="majorHAnsi" w:eastAsiaTheme="majorEastAsia" w:hAnsiTheme="majorHAnsi" w:cstheme="majorBidi"/>
              <w:sz w:val="36"/>
              <w:szCs w:val="36"/>
            </w:rPr>
            <w:t>[Type the document title]</w:t>
          </w:r>
        </w:p>
      </w:docPartBody>
    </w:docPart>
    <w:docPart>
      <w:docPartPr>
        <w:name w:val="DB31BC46BB90473987C313B635ABEDB0"/>
        <w:category>
          <w:name w:val="General"/>
          <w:gallery w:val="placeholder"/>
        </w:category>
        <w:types>
          <w:type w:val="bbPlcHdr"/>
        </w:types>
        <w:behaviors>
          <w:behavior w:val="content"/>
        </w:behaviors>
        <w:guid w:val="{998ABA42-CA6E-47BE-B3C3-2690C1B56B9A}"/>
      </w:docPartPr>
      <w:docPartBody>
        <w:p w:rsidR="00D349CD" w:rsidRDefault="00460CD9" w:rsidP="00460CD9">
          <w:pPr>
            <w:pStyle w:val="DB31BC46BB90473987C313B635ABEDB0"/>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D9"/>
    <w:rsid w:val="00460CD9"/>
    <w:rsid w:val="00D3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66A20F1054EDBAC071B31343C8418">
    <w:name w:val="38766A20F1054EDBAC071B31343C8418"/>
    <w:rsid w:val="00460CD9"/>
  </w:style>
  <w:style w:type="paragraph" w:customStyle="1" w:styleId="19C97ED6279E4C7A8D02D84657D2C457">
    <w:name w:val="19C97ED6279E4C7A8D02D84657D2C457"/>
    <w:rsid w:val="00460CD9"/>
  </w:style>
  <w:style w:type="paragraph" w:customStyle="1" w:styleId="9D63BA7F27A44136A3EE076FA2304E19">
    <w:name w:val="9D63BA7F27A44136A3EE076FA2304E19"/>
    <w:rsid w:val="00460CD9"/>
  </w:style>
  <w:style w:type="paragraph" w:customStyle="1" w:styleId="7A760A54FA2448508AE8ADD6CBE2B2CA">
    <w:name w:val="7A760A54FA2448508AE8ADD6CBE2B2CA"/>
    <w:rsid w:val="00460CD9"/>
  </w:style>
  <w:style w:type="paragraph" w:customStyle="1" w:styleId="28B7D39BA05E465387C706083D44E03F">
    <w:name w:val="28B7D39BA05E465387C706083D44E03F"/>
    <w:rsid w:val="00460CD9"/>
  </w:style>
  <w:style w:type="paragraph" w:customStyle="1" w:styleId="B138C4BC37D44C5EA958BE3B766A843A">
    <w:name w:val="B138C4BC37D44C5EA958BE3B766A843A"/>
    <w:rsid w:val="00460CD9"/>
  </w:style>
  <w:style w:type="paragraph" w:customStyle="1" w:styleId="C9ADE7E39EC54193A9FD9DECFB143E07">
    <w:name w:val="C9ADE7E39EC54193A9FD9DECFB143E07"/>
    <w:rsid w:val="00460CD9"/>
  </w:style>
  <w:style w:type="paragraph" w:customStyle="1" w:styleId="DB31BC46BB90473987C313B635ABEDB0">
    <w:name w:val="DB31BC46BB90473987C313B635ABEDB0"/>
    <w:rsid w:val="00460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2018-07-02T00:00:00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Ithaca/Tompkins CoC Ranking and Review Process</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Ithaca/Tompkins CoC Ranking and Review Process</dc:title>
  <dc:creator>HSC</dc:creator>
  <cp:lastModifiedBy>Tierra Labrada</cp:lastModifiedBy>
  <cp:revision>8</cp:revision>
  <cp:lastPrinted>2017-09-13T18:08:00Z</cp:lastPrinted>
  <dcterms:created xsi:type="dcterms:W3CDTF">2018-07-02T15:11:00Z</dcterms:created>
  <dcterms:modified xsi:type="dcterms:W3CDTF">2018-07-09T18:24:00Z</dcterms:modified>
</cp:coreProperties>
</file>